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default" w:ascii="仿宋" w:hAnsi="仿宋" w:eastAsia="仿宋" w:cs="仿宋"/>
          <w:b/>
          <w:sz w:val="32"/>
          <w:szCs w:val="36"/>
          <w:lang w:val="en-US" w:eastAsia="zh-CN"/>
        </w:rPr>
      </w:pPr>
      <w:r>
        <w:rPr>
          <w:rFonts w:hint="eastAsia" w:ascii="仿宋" w:hAnsi="仿宋" w:eastAsia="仿宋" w:cs="仿宋"/>
          <w:b/>
          <w:sz w:val="32"/>
          <w:szCs w:val="36"/>
        </w:rPr>
        <w:t>西华大学郫都校区（含彭州校区）食堂专用设备（椅凳类）采购</w:t>
      </w:r>
      <w:r>
        <w:rPr>
          <w:rFonts w:hint="eastAsia" w:ascii="仿宋" w:hAnsi="仿宋" w:eastAsia="仿宋" w:cs="仿宋"/>
          <w:b/>
          <w:sz w:val="32"/>
          <w:szCs w:val="36"/>
          <w:lang w:val="en-US" w:eastAsia="zh-CN"/>
        </w:rPr>
        <w:t>需求文件</w:t>
      </w:r>
    </w:p>
    <w:p>
      <w:pPr>
        <w:spacing w:line="360" w:lineRule="auto"/>
        <w:ind w:firstLine="562" w:firstLineChars="200"/>
        <w:rPr>
          <w:rFonts w:hint="eastAsia"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pPr>
        <w:numPr>
          <w:ilvl w:val="0"/>
          <w:numId w:val="0"/>
        </w:numPr>
        <w:adjustRightInd w:val="0"/>
        <w:snapToGrid w:val="0"/>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西华大学后勤服务总公司计划32万元专项资金用于购买食堂椅凳类设备。</w:t>
      </w:r>
      <w:r>
        <w:rPr>
          <w:rFonts w:hint="eastAsia" w:ascii="仿宋" w:hAnsi="仿宋" w:eastAsia="仿宋" w:cs="仿宋"/>
          <w:sz w:val="24"/>
          <w:szCs w:val="24"/>
          <w:lang w:eastAsia="zh-CN"/>
        </w:rPr>
        <w:t>对部分旧设备进行更换，以完善我校相关办学及</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 xml:space="preserve">服务条件。 </w:t>
      </w:r>
    </w:p>
    <w:p>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二、投标供应商的资格要求</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资格要求详细说明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 xml:space="preserve">1.投标人具有良好的商业信誉的书面声明材料。 </w:t>
            </w:r>
          </w:p>
          <w:p>
            <w:pPr>
              <w:rPr>
                <w:rFonts w:hint="eastAsia" w:ascii="仿宋" w:hAnsi="仿宋" w:eastAsia="仿宋" w:cs="仿宋"/>
              </w:rPr>
            </w:pPr>
            <w:r>
              <w:rPr>
                <w:rFonts w:hint="eastAsia" w:ascii="仿宋" w:hAnsi="仿宋" w:eastAsia="仿宋" w:cs="仿宋"/>
              </w:rPr>
              <w:t>2.投标人参加政府采购活动前三年内，在经营活动中没有重大违法记录的书面声明材料；</w:t>
            </w:r>
          </w:p>
          <w:p>
            <w:pPr>
              <w:rPr>
                <w:rFonts w:hint="eastAsia" w:ascii="仿宋" w:hAnsi="仿宋" w:eastAsia="仿宋" w:cs="仿宋"/>
              </w:rPr>
            </w:pPr>
            <w:r>
              <w:rPr>
                <w:rFonts w:hint="eastAsia" w:ascii="仿宋" w:hAnsi="仿宋" w:eastAsia="仿宋" w:cs="仿宋"/>
              </w:rPr>
              <w:t xml:space="preserve">3.投标人具有健全的财务会计制度的书面声明材料； </w:t>
            </w:r>
          </w:p>
          <w:p>
            <w:pPr>
              <w:rPr>
                <w:rFonts w:hint="eastAsia" w:ascii="仿宋" w:hAnsi="仿宋" w:eastAsia="仿宋" w:cs="仿宋"/>
              </w:rPr>
            </w:pPr>
            <w:r>
              <w:rPr>
                <w:rFonts w:hint="eastAsia" w:ascii="仿宋" w:hAnsi="仿宋" w:eastAsia="仿宋" w:cs="仿宋"/>
              </w:rPr>
              <w:t>4.投标人具有依法缴纳社会保障资金良好记录的书面声明材料；</w:t>
            </w:r>
          </w:p>
          <w:p>
            <w:pPr>
              <w:rPr>
                <w:rFonts w:hint="eastAsia"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pPr>
              <w:rPr>
                <w:rFonts w:hint="eastAsia"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1.根据招标文件的要求不属于禁止参加投标或投标无效的供应商；</w:t>
            </w:r>
          </w:p>
          <w:p>
            <w:pPr>
              <w:rPr>
                <w:rFonts w:hint="eastAsia"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pPr>
        <w:rPr>
          <w:rFonts w:hint="eastAsia" w:ascii="仿宋" w:hAnsi="仿宋" w:eastAsia="仿宋" w:cs="仿宋"/>
        </w:rPr>
      </w:pPr>
      <w:r>
        <w:rPr>
          <w:rFonts w:hint="eastAsia" w:ascii="仿宋" w:hAnsi="仿宋" w:eastAsia="仿宋" w:cs="仿宋"/>
        </w:rPr>
        <w:t>其他资格要求：无。</w:t>
      </w:r>
    </w:p>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p>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三、主要技术要求与标准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940"/>
        <w:gridCol w:w="1896"/>
        <w:gridCol w:w="97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b/>
                <w:bCs/>
                <w:sz w:val="24"/>
                <w:szCs w:val="28"/>
              </w:rPr>
            </w:pPr>
            <w:r>
              <w:rPr>
                <w:rFonts w:hint="eastAsia" w:ascii="仿宋" w:hAnsi="仿宋" w:eastAsia="仿宋" w:cs="仿宋"/>
                <w:b/>
                <w:bCs/>
                <w:sz w:val="24"/>
                <w:szCs w:val="28"/>
                <w:lang w:val="en-US" w:eastAsia="zh-CN"/>
              </w:rPr>
              <w:t>序号</w:t>
            </w:r>
          </w:p>
        </w:tc>
        <w:tc>
          <w:tcPr>
            <w:tcW w:w="940" w:type="dxa"/>
            <w:vAlign w:val="center"/>
          </w:tcPr>
          <w:p>
            <w:pPr>
              <w:rPr>
                <w:rFonts w:hint="eastAsia" w:ascii="仿宋" w:hAnsi="仿宋" w:eastAsia="仿宋" w:cs="仿宋"/>
                <w:b/>
                <w:bCs/>
                <w:sz w:val="24"/>
                <w:szCs w:val="28"/>
              </w:rPr>
            </w:pPr>
            <w:r>
              <w:rPr>
                <w:rFonts w:hint="eastAsia" w:ascii="仿宋" w:hAnsi="仿宋" w:eastAsia="仿宋" w:cs="仿宋"/>
                <w:b/>
                <w:bCs/>
                <w:sz w:val="24"/>
                <w:szCs w:val="28"/>
                <w:lang w:val="en-US" w:eastAsia="zh-CN"/>
              </w:rPr>
              <w:t>品名</w:t>
            </w:r>
          </w:p>
        </w:tc>
        <w:tc>
          <w:tcPr>
            <w:tcW w:w="1896" w:type="dxa"/>
            <w:vAlign w:val="center"/>
          </w:tcPr>
          <w:p>
            <w:pPr>
              <w:rPr>
                <w:rFonts w:hint="eastAsia" w:ascii="仿宋" w:hAnsi="仿宋" w:eastAsia="仿宋" w:cs="仿宋"/>
                <w:b/>
                <w:bCs/>
                <w:sz w:val="24"/>
                <w:szCs w:val="28"/>
              </w:rPr>
            </w:pPr>
            <w:r>
              <w:rPr>
                <w:rFonts w:hint="eastAsia" w:ascii="仿宋" w:hAnsi="仿宋" w:eastAsia="仿宋" w:cs="仿宋"/>
                <w:b/>
                <w:bCs/>
                <w:sz w:val="24"/>
                <w:szCs w:val="28"/>
                <w:lang w:val="en-US" w:eastAsia="zh-CN"/>
              </w:rPr>
              <w:t>参考规格尺寸</w:t>
            </w:r>
          </w:p>
        </w:tc>
        <w:tc>
          <w:tcPr>
            <w:tcW w:w="970" w:type="dxa"/>
            <w:vAlign w:val="center"/>
          </w:tcPr>
          <w:p>
            <w:pPr>
              <w:rPr>
                <w:rFonts w:hint="eastAsia" w:ascii="仿宋" w:hAnsi="仿宋" w:eastAsia="仿宋" w:cs="仿宋"/>
                <w:b/>
                <w:bCs/>
                <w:sz w:val="24"/>
                <w:szCs w:val="28"/>
              </w:rPr>
            </w:pPr>
            <w:r>
              <w:rPr>
                <w:rFonts w:hint="eastAsia" w:ascii="仿宋" w:hAnsi="仿宋" w:eastAsia="仿宋" w:cs="仿宋"/>
                <w:b/>
                <w:bCs/>
                <w:sz w:val="24"/>
                <w:szCs w:val="28"/>
                <w:lang w:val="en-US" w:eastAsia="zh-CN"/>
              </w:rPr>
              <w:t>数量</w:t>
            </w:r>
          </w:p>
        </w:tc>
        <w:tc>
          <w:tcPr>
            <w:tcW w:w="909" w:type="dxa"/>
            <w:vAlign w:val="center"/>
          </w:tcPr>
          <w:p>
            <w:pPr>
              <w:rPr>
                <w:rFonts w:hint="eastAsia" w:ascii="仿宋" w:hAnsi="仿宋" w:eastAsia="仿宋" w:cs="仿宋"/>
                <w:b/>
                <w:bCs/>
                <w:sz w:val="24"/>
                <w:szCs w:val="28"/>
              </w:rPr>
            </w:pPr>
            <w:r>
              <w:rPr>
                <w:rFonts w:hint="eastAsia" w:ascii="仿宋" w:hAnsi="仿宋" w:eastAsia="仿宋" w:cs="仿宋"/>
                <w:b/>
                <w:bCs/>
                <w:sz w:val="24"/>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 xml:space="preserve"> 餐桌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1400*700*750mm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36</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2</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方形餐桌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700*700*750mm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9</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3</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方形餐桌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800*800*750mm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2</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4</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圆形餐桌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φ800*750mm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2</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5</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 xml:space="preserve"> 餐椅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 xml:space="preserve">510*490*780mm </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63</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6</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 双面卡座</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宽度1100mm，高度950mm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19</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7</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定制单面卡座</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宽度600mm，高度950mm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59.4</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8</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定制隔断</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宽度120mm，高度950mm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34.4</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9</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 xml:space="preserve">1.4米实木餐桌 </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 xml:space="preserve">1400*700*750mm </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7</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10</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餐椅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540*530*795mm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40</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11</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实木餐椅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430*510*770mm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8</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12</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定制吧台</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宽度500mm，高度1025mm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14</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13</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曲木高脚吧凳</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440*470*740mm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7</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14</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聚酯高脚吧凳</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480*470*810mm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11</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15</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定制花箱隔断</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宽度300mm，高度1050mm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17</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16</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钢木椅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410*510*800mm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18</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17</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曲木板实木餐椅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560*515*750mm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8</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9" w:type="dxa"/>
            <w:vAlign w:val="center"/>
          </w:tcPr>
          <w:p>
            <w:pPr>
              <w:rPr>
                <w:rFonts w:hint="eastAsia" w:ascii="仿宋" w:hAnsi="仿宋" w:eastAsia="仿宋" w:cs="仿宋"/>
              </w:rPr>
            </w:pPr>
            <w:r>
              <w:rPr>
                <w:rFonts w:hint="eastAsia" w:ascii="仿宋" w:hAnsi="仿宋" w:eastAsia="仿宋" w:cs="仿宋"/>
                <w:lang w:val="en-US" w:eastAsia="zh-CN"/>
              </w:rPr>
              <w:t>18</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定制卡座</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1400*600*950mm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6</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19</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 xml:space="preserve"> 长条餐桌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1400*700*750mm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6</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20</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圆几</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φ480*500mm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2</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21</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躺椅</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750*710*900mm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4</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22</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布艺沙发</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2020*760*940mm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6</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rPr>
                <w:rFonts w:hint="eastAsia" w:ascii="仿宋" w:hAnsi="仿宋" w:eastAsia="仿宋" w:cs="仿宋"/>
              </w:rPr>
            </w:pPr>
            <w:r>
              <w:rPr>
                <w:rFonts w:hint="eastAsia" w:ascii="仿宋" w:hAnsi="仿宋" w:eastAsia="仿宋" w:cs="仿宋"/>
                <w:lang w:val="en-US" w:eastAsia="zh-CN"/>
              </w:rPr>
              <w:t>23</w:t>
            </w:r>
          </w:p>
        </w:tc>
        <w:tc>
          <w:tcPr>
            <w:tcW w:w="940" w:type="dxa"/>
            <w:vAlign w:val="center"/>
          </w:tcPr>
          <w:p>
            <w:pPr>
              <w:rPr>
                <w:rFonts w:hint="eastAsia" w:ascii="仿宋" w:hAnsi="仿宋" w:eastAsia="仿宋" w:cs="仿宋"/>
              </w:rPr>
            </w:pPr>
            <w:r>
              <w:rPr>
                <w:rFonts w:hint="eastAsia" w:ascii="仿宋" w:hAnsi="仿宋" w:eastAsia="仿宋" w:cs="仿宋"/>
                <w:lang w:val="en-US" w:eastAsia="zh-CN"/>
              </w:rPr>
              <w:t>定制茶桌</w:t>
            </w:r>
          </w:p>
        </w:tc>
        <w:tc>
          <w:tcPr>
            <w:tcW w:w="1896" w:type="dxa"/>
            <w:vAlign w:val="center"/>
          </w:tcPr>
          <w:p>
            <w:pPr>
              <w:rPr>
                <w:rFonts w:hint="eastAsia" w:ascii="仿宋" w:hAnsi="仿宋" w:eastAsia="仿宋" w:cs="仿宋"/>
              </w:rPr>
            </w:pPr>
            <w:r>
              <w:rPr>
                <w:rFonts w:hint="eastAsia" w:ascii="仿宋" w:hAnsi="仿宋" w:eastAsia="仿宋" w:cs="仿宋"/>
                <w:lang w:val="en-US" w:eastAsia="zh-CN"/>
              </w:rPr>
              <w:t>1800*700*750mm</w:t>
            </w:r>
          </w:p>
        </w:tc>
        <w:tc>
          <w:tcPr>
            <w:tcW w:w="970" w:type="dxa"/>
            <w:vAlign w:val="center"/>
          </w:tcPr>
          <w:p>
            <w:pPr>
              <w:rPr>
                <w:rFonts w:hint="eastAsia" w:ascii="仿宋" w:hAnsi="仿宋" w:eastAsia="仿宋" w:cs="仿宋"/>
              </w:rPr>
            </w:pPr>
            <w:r>
              <w:rPr>
                <w:rFonts w:hint="eastAsia" w:ascii="仿宋" w:hAnsi="仿宋" w:eastAsia="仿宋" w:cs="仿宋"/>
                <w:lang w:val="en-US" w:eastAsia="zh-CN"/>
              </w:rPr>
              <w:t>3</w:t>
            </w:r>
          </w:p>
        </w:tc>
        <w:tc>
          <w:tcPr>
            <w:tcW w:w="909" w:type="dxa"/>
            <w:vAlign w:val="center"/>
          </w:tcPr>
          <w:p>
            <w:pPr>
              <w:rPr>
                <w:rFonts w:hint="eastAsia" w:ascii="仿宋" w:hAnsi="仿宋" w:eastAsia="仿宋" w:cs="仿宋"/>
              </w:rPr>
            </w:pPr>
            <w:r>
              <w:rPr>
                <w:rFonts w:hint="eastAsia" w:ascii="仿宋" w:hAnsi="仿宋" w:eastAsia="仿宋" w:cs="仿宋"/>
                <w:lang w:val="en-US" w:eastAsia="zh-CN"/>
              </w:rPr>
              <w:t>张</w:t>
            </w:r>
          </w:p>
        </w:tc>
      </w:tr>
    </w:tbl>
    <w:p>
      <w:pPr>
        <w:spacing w:line="360" w:lineRule="auto"/>
        <w:ind w:firstLine="422" w:firstLineChars="200"/>
        <w:rPr>
          <w:rFonts w:hint="eastAsia" w:ascii="仿宋" w:hAnsi="仿宋" w:eastAsia="仿宋" w:cs="仿宋"/>
          <w: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73"/>
        <w:gridCol w:w="1872"/>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keepNext w:val="0"/>
              <w:keepLines w:val="0"/>
              <w:widowControl/>
              <w:suppressLineNumbers w:val="0"/>
              <w:jc w:val="left"/>
              <w:textAlignment w:val="center"/>
              <w:rPr>
                <w:rFonts w:hint="eastAsia" w:ascii="仿宋" w:hAnsi="仿宋" w:eastAsia="仿宋" w:cs="仿宋"/>
                <w:b/>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073" w:type="dxa"/>
            <w:vAlign w:val="center"/>
          </w:tcPr>
          <w:p>
            <w:pPr>
              <w:keepNext w:val="0"/>
              <w:keepLines w:val="0"/>
              <w:widowControl/>
              <w:suppressLineNumbers w:val="0"/>
              <w:jc w:val="center"/>
              <w:textAlignment w:val="center"/>
              <w:rPr>
                <w:rFonts w:hint="eastAsia" w:ascii="仿宋" w:hAnsi="仿宋" w:eastAsia="仿宋" w:cs="仿宋"/>
                <w:b/>
                <w:vertAlign w:val="baseline"/>
              </w:rPr>
            </w:pPr>
            <w:r>
              <w:rPr>
                <w:rFonts w:hint="eastAsia" w:ascii="宋体" w:hAnsi="宋体" w:eastAsia="宋体" w:cs="宋体"/>
                <w:b/>
                <w:bCs/>
                <w:i w:val="0"/>
                <w:iCs w:val="0"/>
                <w:color w:val="000000"/>
                <w:kern w:val="0"/>
                <w:sz w:val="24"/>
                <w:szCs w:val="24"/>
                <w:u w:val="none"/>
                <w:lang w:val="en-US" w:eastAsia="zh-CN" w:bidi="ar"/>
              </w:rPr>
              <w:t>品名</w:t>
            </w:r>
          </w:p>
        </w:tc>
        <w:tc>
          <w:tcPr>
            <w:tcW w:w="1872" w:type="dxa"/>
          </w:tcPr>
          <w:p>
            <w:pPr>
              <w:spacing w:line="360" w:lineRule="auto"/>
              <w:rPr>
                <w:rFonts w:hint="eastAsia" w:ascii="仿宋" w:hAnsi="仿宋" w:eastAsia="仿宋" w:cs="仿宋"/>
                <w:b/>
                <w:vertAlign w:val="baseline"/>
              </w:rPr>
            </w:pPr>
            <w:r>
              <w:rPr>
                <w:rFonts w:hint="eastAsia" w:ascii="仿宋" w:hAnsi="仿宋" w:eastAsia="仿宋" w:cs="仿宋"/>
                <w:b/>
                <w:vertAlign w:val="baseline"/>
              </w:rPr>
              <w:t>参考图片</w:t>
            </w:r>
          </w:p>
        </w:tc>
        <w:tc>
          <w:tcPr>
            <w:tcW w:w="4830" w:type="dxa"/>
          </w:tcPr>
          <w:p>
            <w:pPr>
              <w:spacing w:line="360" w:lineRule="auto"/>
              <w:rPr>
                <w:rFonts w:hint="eastAsia" w:ascii="仿宋" w:hAnsi="仿宋" w:eastAsia="仿宋" w:cs="仿宋"/>
                <w:b/>
                <w:vertAlign w:val="baseline"/>
              </w:rPr>
            </w:pPr>
            <w:r>
              <w:rPr>
                <w:rFonts w:hint="eastAsia" w:ascii="仿宋" w:hAnsi="仿宋" w:eastAsia="仿宋" w:cs="仿宋"/>
                <w:b/>
                <w:vertAlign w:val="baseline"/>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 xml:space="preserve"> 餐桌1400*700*750mm</w:t>
            </w:r>
          </w:p>
        </w:tc>
        <w:tc>
          <w:tcPr>
            <w:tcW w:w="1872" w:type="dxa"/>
          </w:tcPr>
          <w:p>
            <w:pPr>
              <w:spacing w:line="360" w:lineRule="auto"/>
              <w:jc w:val="center"/>
              <w:rPr>
                <w:rFonts w:hint="eastAsia" w:ascii="仿宋" w:hAnsi="仿宋" w:eastAsia="仿宋" w:cs="仿宋"/>
                <w:b w:val="0"/>
                <w:bCs w:val="0"/>
                <w:vertAlign w:val="baseline"/>
              </w:rPr>
            </w:pPr>
            <w:r>
              <w:rPr>
                <w:b w:val="0"/>
                <w:bCs w:val="0"/>
              </w:rPr>
              <w:drawing>
                <wp:inline distT="0" distB="0" distL="114300" distR="114300">
                  <wp:extent cx="916940" cy="733425"/>
                  <wp:effectExtent l="0" t="0" r="12700"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srcRect/>
                          <a:stretch>
                            <a:fillRect/>
                          </a:stretch>
                        </pic:blipFill>
                        <pic:spPr>
                          <a:xfrm>
                            <a:off x="0" y="0"/>
                            <a:ext cx="916940" cy="733425"/>
                          </a:xfrm>
                          <a:prstGeom prst="rect">
                            <a:avLst/>
                          </a:prstGeom>
                          <a:noFill/>
                          <a:ln w="1">
                            <a:noFill/>
                            <a:miter lim="800000"/>
                            <a:headEnd/>
                            <a:tailEnd type="none" w="med" len="med"/>
                          </a:ln>
                          <a:effectLst/>
                        </pic:spPr>
                      </pic:pic>
                    </a:graphicData>
                  </a:graphic>
                </wp:inline>
              </w:drawing>
            </w:r>
          </w:p>
        </w:tc>
        <w:tc>
          <w:tcPr>
            <w:tcW w:w="4830" w:type="dxa"/>
            <w:vMerge w:val="restart"/>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1、桌面基材:实木多层板，环保级别达到ENF级，符合GB/T 39600-2021《人造板及其制品甲醛释放量分级》，QB/T 4371-2012《家具抗菌性能评价》以及JC/T 2039-2010《抗菌防霉木质装饰板》标准。其中板的理化性能强度≥4000MPa，总挥发性有机化合物（TVOC）≤0.50mg/m²；板材的抗菌性能和防霉性能（黑曲霉）以及B1级燃烧性能均达到合格。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2、桌面贴面材：E1级防火板，符合GB/T 15102-2017《寖渍胶膜纸饰面纤维板和刨花板》标准，板材3.0%～13%含水率，表面胶合强度≥0.06MPa，内结合强度≥0.45MPa，表面耐磨磨耗值≤80mg/100r，并且板材表面没有露底现象均达到合格，甲醛释放量≤0.124mg/m³。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3、桌面封边：采用激光透明聚氨酯一次性封边，封边厚度≥0.05mm，木材纹路通透清晰，边处理无毛刺手感柔和。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4、贴面胶粘剂：采用MDI胶粘剂，胶不含游离甲醛、苯、甲苯、二甲苯、水基型胶粘剂VOC含量限量均达到合格。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5、桌架和底盘：采用不锈钢材质，表面作拉丝处理，拉丝纹路一致清晰。五金配件：采用沉头自攻螺丝和止退螺母连接配件，金属件应无锈蚀、脱落、锐棱。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6、质量配置要求：台面厚度≥25mm，不锈钢材厚度≥1.0mm。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2</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方形餐桌700*700*750mm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730885" cy="809625"/>
                  <wp:effectExtent l="0" t="0" r="635"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5"/>
                          <a:srcRect l="19638" r="22674"/>
                          <a:stretch>
                            <a:fillRect/>
                          </a:stretch>
                        </pic:blipFill>
                        <pic:spPr>
                          <a:xfrm>
                            <a:off x="0" y="0"/>
                            <a:ext cx="730885" cy="809625"/>
                          </a:xfrm>
                          <a:prstGeom prst="rect">
                            <a:avLst/>
                          </a:prstGeom>
                          <a:noFill/>
                          <a:ln w="9525">
                            <a:noFill/>
                            <a:miter lim="800000"/>
                            <a:headEnd/>
                            <a:tailEnd/>
                          </a:ln>
                        </pic:spPr>
                      </pic:pic>
                    </a:graphicData>
                  </a:graphic>
                </wp:inline>
              </w:drawing>
            </w:r>
          </w:p>
        </w:tc>
        <w:tc>
          <w:tcPr>
            <w:tcW w:w="4830" w:type="dxa"/>
            <w:vMerge w:val="continue"/>
          </w:tcPr>
          <w:p>
            <w:pPr>
              <w:spacing w:line="360" w:lineRule="auto"/>
              <w:rPr>
                <w:rFonts w:hint="eastAsia" w:ascii="仿宋" w:hAnsi="仿宋" w:eastAsia="仿宋" w:cs="仿宋"/>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3</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方形餐桌800*800*750mm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730885" cy="809625"/>
                  <wp:effectExtent l="0" t="0" r="635" b="13335"/>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
                          <pic:cNvPicPr>
                            <a:picLocks noChangeAspect="1" noChangeArrowheads="1"/>
                          </pic:cNvPicPr>
                        </pic:nvPicPr>
                        <pic:blipFill>
                          <a:blip r:embed="rId5"/>
                          <a:srcRect l="19638" r="22674"/>
                          <a:stretch>
                            <a:fillRect/>
                          </a:stretch>
                        </pic:blipFill>
                        <pic:spPr>
                          <a:xfrm>
                            <a:off x="0" y="0"/>
                            <a:ext cx="730885" cy="809625"/>
                          </a:xfrm>
                          <a:prstGeom prst="rect">
                            <a:avLst/>
                          </a:prstGeom>
                          <a:noFill/>
                          <a:ln w="9525">
                            <a:noFill/>
                            <a:miter lim="800000"/>
                            <a:headEnd/>
                            <a:tailEnd/>
                          </a:ln>
                        </pic:spPr>
                      </pic:pic>
                    </a:graphicData>
                  </a:graphic>
                </wp:inline>
              </w:drawing>
            </w:r>
          </w:p>
        </w:tc>
        <w:tc>
          <w:tcPr>
            <w:tcW w:w="4830" w:type="dxa"/>
            <w:vMerge w:val="continue"/>
          </w:tcPr>
          <w:p>
            <w:pPr>
              <w:spacing w:line="360" w:lineRule="auto"/>
              <w:rPr>
                <w:rFonts w:hint="eastAsia" w:ascii="仿宋" w:hAnsi="仿宋" w:eastAsia="仿宋" w:cs="仿宋"/>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4</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圆形餐桌φ800*750mm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657225" cy="723265"/>
                  <wp:effectExtent l="0" t="0" r="13335" b="8255"/>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pic:cNvPicPr>
                            <a:picLocks noChangeAspect="1" noChangeArrowheads="1"/>
                          </pic:cNvPicPr>
                        </pic:nvPicPr>
                        <pic:blipFill>
                          <a:blip r:embed="rId6"/>
                          <a:srcRect/>
                          <a:stretch>
                            <a:fillRect/>
                          </a:stretch>
                        </pic:blipFill>
                        <pic:spPr>
                          <a:xfrm>
                            <a:off x="0" y="0"/>
                            <a:ext cx="657225" cy="723265"/>
                          </a:xfrm>
                          <a:prstGeom prst="rect">
                            <a:avLst/>
                          </a:prstGeom>
                          <a:noFill/>
                          <a:ln w="1">
                            <a:noFill/>
                            <a:miter lim="800000"/>
                            <a:headEnd/>
                            <a:tailEnd type="none" w="med" len="med"/>
                          </a:ln>
                          <a:effectLst/>
                        </pic:spPr>
                      </pic:pic>
                    </a:graphicData>
                  </a:graphic>
                </wp:inline>
              </w:drawing>
            </w:r>
          </w:p>
        </w:tc>
        <w:tc>
          <w:tcPr>
            <w:tcW w:w="4830" w:type="dxa"/>
            <w:vMerge w:val="continue"/>
          </w:tcPr>
          <w:p>
            <w:pPr>
              <w:spacing w:line="360" w:lineRule="auto"/>
              <w:rPr>
                <w:rFonts w:hint="eastAsia" w:ascii="仿宋" w:hAnsi="仿宋" w:eastAsia="仿宋" w:cs="仿宋"/>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5</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 xml:space="preserve"> 餐椅510*490*780mm </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933450" cy="1407795"/>
                  <wp:effectExtent l="0" t="0" r="11430" b="952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cstate="print"/>
                          <a:srcRect/>
                          <a:stretch>
                            <a:fillRect/>
                          </a:stretch>
                        </pic:blipFill>
                        <pic:spPr>
                          <a:xfrm flipH="1">
                            <a:off x="0" y="0"/>
                            <a:ext cx="933450" cy="1407795"/>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1、椅子坐背板：曲木板，环保级别达到E0级，符合GB/T 39600-2021《人造板及其制品甲醛释放量分级》，GB/T 1741-2020《漆膜耐霉菌性测定法》以及GB/T 35601-2017《绿色产品评价人造板和木质地板》的标准，板材5%～16%含水率，静曲强度≥20MPa，弹性模量≥4000MPa，不含挥发性有机化合物；板材的抗菌性能和耐霉性能以及B1级燃烧性能均达到合格 。                                                        2、海绵：物理学性能：回弹率≥35%，25%压陷硬度≥250N,拉伸强度≥100KPa。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3、椅面封边：采用“水性油漆”封边工艺，符合GB/T23997-2009《室内装饰装修用溶剂型聚氨酯木器涂料》的标准，油漆在容器中搅拌后均匀无硬块，VOC含量 ≤650 g/L ，油漆中的有害物质限量，VOC含量、甲醛含量、总铅（Pb）含量（限色漆、腻子和醇酸清漆）、可溶性重金属含量（限色漆、腻子和醇酸清漆），镉（Cd）铬（Cr）、汞（Hg）、乙二醇醚及醚酯总和含量、烷基酚聚氧乙烯醚总和含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4、脚垫：采用PP聚氨酯塑料部件，塑料部件的理化性能冲击强度保持率≥35%，外观颜色变色4-5级。不含有害物质甲醛，不含重金属可溶性（铅、镉、铬、汞）。</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5、椅架采用直径≥9mm圆管，壁厚≥1.0mm，通过磨具一次成型椅架，椅架整体框架式结构，整体稳固。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6</w:t>
            </w:r>
          </w:p>
        </w:tc>
        <w:tc>
          <w:tcPr>
            <w:tcW w:w="1073"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 双面卡座</w:t>
            </w:r>
          </w:p>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宽度1100mm，高度950mm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91565" cy="661670"/>
                  <wp:effectExtent l="0" t="0" r="5715" b="889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srcRect t="18923"/>
                          <a:stretch>
                            <a:fillRect/>
                          </a:stretch>
                        </pic:blipFill>
                        <pic:spPr>
                          <a:xfrm>
                            <a:off x="0" y="0"/>
                            <a:ext cx="1091565" cy="661670"/>
                          </a:xfrm>
                          <a:prstGeom prst="rect">
                            <a:avLst/>
                          </a:prstGeom>
                          <a:noFill/>
                          <a:ln w="1">
                            <a:noFill/>
                            <a:miter lim="800000"/>
                            <a:headEnd/>
                            <a:tailEnd type="none" w="med" len="med"/>
                          </a:ln>
                          <a:effectLst/>
                        </pic:spPr>
                      </pic:pic>
                    </a:graphicData>
                  </a:graphic>
                </wp:inline>
              </w:drawing>
            </w:r>
          </w:p>
        </w:tc>
        <w:tc>
          <w:tcPr>
            <w:tcW w:w="4830" w:type="dxa"/>
            <w:vMerge w:val="restart"/>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1、卡座架基材:实木多层板，符合GB/T 39600-2021《人造板及其制品甲醛释放量分级》，JC/T 2039-2010《抗菌防霉木质装饰板》标准。其中板的理化性能强度≥4000MPa，总挥发性有机化合物（TVOC）≤0.50mg/m²。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2、卡座板面饰面：采用高温热压三聚氰胺浸渍纸一次性成型饰面， 符合LY/T 1831-2009《人造板饰面专用装饰纸》、GB/T 35601-2017《绿色产品评价 人造板和木质地板》的标准；三聚氰胺浸渍纸不含有甲醛释和挥发性有机化合物；理化性能：pH值6.5—7.5、纵向干抗张强度≥25N/15mm、纵向湿抗张强度≥6N/15mm、渗透性≤6s、耐热性1级、耐光色牢度≥6级；原纸外观质量：无破损、无污染、无异物、无色差、无皱纹、无裂口、无孔洞。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3、坐面海绵：物理学性能：回弹率≥35%，25%压陷硬度≥250N,拉伸强度≥100KPa，干热老化后拉伸强度≥55KPa，湿热老化后拉伸强度≥55KPa；阻燃性等级为I级。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4、坐和背皮面：采用人造科技皮，感官要求:颜色均匀，无杂色、黄心,无对穿孔和气孔,无裂缝,两侧无表皮,无污染，无刺激性气味。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5、防污地脚边：采用不锈钢材质，表面作拉丝处理，拉丝纹路一致清晰。五金配件：采用沉头自攻螺丝配件，金属件应无锈蚀、脱落、锐棱。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7</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定制单面卡座宽度600mm，高度950mm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91565" cy="661670"/>
                  <wp:effectExtent l="0" t="0" r="5715" b="8890"/>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8" cstate="print"/>
                          <a:srcRect t="18923"/>
                          <a:stretch>
                            <a:fillRect/>
                          </a:stretch>
                        </pic:blipFill>
                        <pic:spPr>
                          <a:xfrm>
                            <a:off x="0" y="0"/>
                            <a:ext cx="1091565" cy="661670"/>
                          </a:xfrm>
                          <a:prstGeom prst="rect">
                            <a:avLst/>
                          </a:prstGeom>
                          <a:noFill/>
                          <a:ln w="1">
                            <a:noFill/>
                            <a:miter lim="800000"/>
                            <a:headEnd/>
                            <a:tailEnd type="none" w="med" len="med"/>
                          </a:ln>
                          <a:effectLst/>
                        </pic:spPr>
                      </pic:pic>
                    </a:graphicData>
                  </a:graphic>
                </wp:inline>
              </w:drawing>
            </w:r>
          </w:p>
        </w:tc>
        <w:tc>
          <w:tcPr>
            <w:tcW w:w="4830" w:type="dxa"/>
            <w:vMerge w:val="continue"/>
          </w:tcPr>
          <w:p>
            <w:pPr>
              <w:spacing w:line="360" w:lineRule="auto"/>
              <w:rPr>
                <w:rFonts w:hint="eastAsia" w:ascii="仿宋" w:hAnsi="仿宋" w:eastAsia="仿宋" w:cs="仿宋"/>
                <w:b w:val="0"/>
                <w:bCs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8</w:t>
            </w:r>
          </w:p>
        </w:tc>
        <w:tc>
          <w:tcPr>
            <w:tcW w:w="1073"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定制隔断</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宽度120mm，高度950mm</w:t>
            </w:r>
          </w:p>
          <w:p>
            <w:pPr>
              <w:pStyle w:val="2"/>
              <w:rPr>
                <w:rFonts w:hint="eastAsia"/>
                <w:b w:val="0"/>
                <w:bCs w:val="0"/>
              </w:rPr>
            </w:pP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800735" cy="2113280"/>
                  <wp:effectExtent l="0" t="0" r="6985" b="508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noChangeArrowheads="1"/>
                          </pic:cNvPicPr>
                        </pic:nvPicPr>
                        <pic:blipFill>
                          <a:blip r:embed="rId9"/>
                          <a:srcRect/>
                          <a:stretch>
                            <a:fillRect/>
                          </a:stretch>
                        </pic:blipFill>
                        <pic:spPr>
                          <a:xfrm>
                            <a:off x="0" y="0"/>
                            <a:ext cx="800735" cy="211328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1、隔断架基材:实木多层板，符合GB/T 39600-2021《人造板及其制品甲醛释放量分级》的标准。其中板的理化性能强度≥4000MPa，总挥发性有机化合物（TVOC）≤0.50mg/m²。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2、隔断架板面饰面：采用高温热压三聚氰胺浸渍纸一次性成型饰面， 符合LY/T 1831-2009《人造板饰面专用装饰纸》的标准；不含有甲醛释和挥发性有机化合物；理化性能：pH值6.5—7.5、纵向干抗张强度≥25N/15mm；原纸外观质量：无破损、无污染、无异物、无色差、无皱纹、无裂口、无孔洞。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3、防污地脚边：采用不锈钢材质，表面作拉丝处理，拉丝纹路一致清晰。五金配件：采用沉头自攻螺丝配件，金属件应无锈蚀、脱落、锐棱。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4、五金配件：采用锁紧膨胀螺丝配件，金属件应无锈蚀、脱落、锐棱。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9</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 xml:space="preserve">1.4米实木餐桌1400*700*750mm  </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10920" cy="866140"/>
                  <wp:effectExtent l="0" t="0" r="10160" b="254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0"/>
                          <a:srcRect/>
                          <a:stretch>
                            <a:fillRect/>
                          </a:stretch>
                        </pic:blipFill>
                        <pic:spPr>
                          <a:xfrm>
                            <a:off x="0" y="0"/>
                            <a:ext cx="1010920" cy="86614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、桌面基材:实木多层板，符合GB/T 39600-2021《人造板及其制品甲醛释放量分级》的标准。其中板的理化性能强度≥4000MPa，总挥发性有机化合物（TVOC）≤0.50mg/m²。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2、桌架：采用橡胶木，符合GB/T 29894-2013《木材鉴别方法通则》；GB/T 1927.4-2021和GB/T 1927.5-2021《无疵小试样木材物理力学性质试验方法》的标准。树种鉴别包含:导管和管孔、轴向薄壁组织、木纤维、木射线、树胶道、宏观特征均符合橡胶木特征描述；木材含水率3%~13%；气干密度0.4g/cm³~0.7g/cm³；木材耐霉性达到合格要求。</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3、餐桌表面处理：采用“油漆”封边工艺，符合GB/T23997-2009《室内装饰装修用溶剂型聚氨酯木器涂料》的标准，油漆在容器中搅拌后均匀无硬块，VOC含量 ≤650 g/L ，油漆中的有害物质限量，VOC含量、甲醛含量、总铅（Pb）含量（限色漆、腻子和醇酸清漆）、可溶性重金属含量（限色漆、腻子和醇酸清漆），镉（Cd）铬（Cr）、汞（Hg）、乙二醇醚及醚酯总和含量、烷基酚聚氧乙烯醚总和含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4、质量配置要求：台面厚度≥25mm，桌脚≥30mm。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10</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餐椅540*530*795mm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940435" cy="1162050"/>
                  <wp:effectExtent l="0" t="0" r="4445" b="11430"/>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noChangeArrowheads="1"/>
                          </pic:cNvPicPr>
                        </pic:nvPicPr>
                        <pic:blipFill>
                          <a:blip r:embed="rId11"/>
                          <a:srcRect r="17004"/>
                          <a:stretch>
                            <a:fillRect/>
                          </a:stretch>
                        </pic:blipFill>
                        <pic:spPr>
                          <a:xfrm>
                            <a:off x="0" y="0"/>
                            <a:ext cx="940435" cy="1162050"/>
                          </a:xfrm>
                          <a:prstGeom prst="rect">
                            <a:avLst/>
                          </a:prstGeom>
                          <a:noFill/>
                          <a:ln w="9525">
                            <a:noFill/>
                            <a:miter lim="800000"/>
                            <a:headEnd/>
                            <a:tailEnd/>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1、面料：采用科技皮，皮不含甲醛，pH值4.0~7.5，染色牢度：耐水、耐酸汗渍、耐碱汗渍、耐唾液、耐干摩擦均达到合格。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2、海绵：物理学性能：回弹率≥35%，拉伸强度≥100KPa，干热老化后拉伸强度≥55KPa。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3、椅架：采用橡胶木，符合GB/T 29894-2013《木材鉴别方法通则》；GB/T 1927.4-2021和GB/T 1927.5-2021《无疵小试样木材物理力学性质试验方法》的标准。树种鉴别包含:导管和管孔、轴向薄壁组织、木纤维、木射线、树胶道、宏观特征均符合橡胶木特征描述；木材含水率3%~13%；气干密度0.4g/cm³~0.7g/cm³；木材耐霉性达到合格要求。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4、椅架表面处理：采用“油漆”涂层工艺，符合GB/T23997-2009《室内装饰装修用溶剂型聚氨酯木器涂料》的标准，油漆在容器中搅拌后均匀无硬块，VOC含量 ≤650 g/L ，油漆中的有害物质限量，VOC含量、甲醛含量均达到合格。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11</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实木餐椅430*510*770mm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680720" cy="918210"/>
                  <wp:effectExtent l="0" t="0" r="5080" b="1143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2" cstate="print"/>
                          <a:srcRect/>
                          <a:stretch>
                            <a:fillRect/>
                          </a:stretch>
                        </pic:blipFill>
                        <pic:spPr>
                          <a:xfrm>
                            <a:off x="0" y="0"/>
                            <a:ext cx="680720" cy="91821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1、实木椅基材：白蜡木，符合GB/T 29894-2013《木材鉴别方法通则》；GB/T 1927.4-2021和GB/T 1927.5-2021《无疵小试样木材物理力学性质试验方法》的标准。树种鉴别包含:导管和管孔、轴向薄壁组织、木纤维、木射线、树胶道、宏观特征均符合白蜡木特征描述；木材含水率3%~13%；气干密度0.4g/cm³~0.7g/cm³。</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2、椅架表面处理：采用“油漆”涂层工艺，符合GB/T23997-2009《室内装饰装修用溶剂型聚氨酯木器涂料》的标准，油漆在容器中搅拌后均匀无硬块，VOC含量 ≤650 g/L ，油漆中的有害物质限量，VOC含量、甲醛含量、总铅（Pb）含量（限色漆、腻子和醇酸清漆）均达到合格。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3、餐椅符合GB/T 3324-2017《木家具通用技术条件》的标准。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12</w:t>
            </w:r>
          </w:p>
        </w:tc>
        <w:tc>
          <w:tcPr>
            <w:tcW w:w="1073"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定制吧台</w:t>
            </w:r>
          </w:p>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宽度500mm，高度1025mm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24890" cy="1073150"/>
                  <wp:effectExtent l="0" t="0" r="11430" b="8890"/>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3" cstate="print"/>
                          <a:srcRect/>
                          <a:stretch>
                            <a:fillRect/>
                          </a:stretch>
                        </pic:blipFill>
                        <pic:spPr>
                          <a:xfrm>
                            <a:off x="0" y="0"/>
                            <a:ext cx="1024890" cy="107315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1、面板：橡胶木，所有基材都经过高温处理，不变形，无虫蛀，支承能力强。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2、面板涂层处理：采用“油漆”涂层工艺，符合GB/T23997-2009《室内装饰装修用溶剂型聚氨酯木器涂料》的标准，油漆在容器中搅拌后均匀无硬块，VOC含量 ≤650 g/L ，油漆中的有害物质限量，VOC含量、甲醛含量均达到合格。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3、桌架材质：钢管，并且符合GB/T 3325-2017《金属家具通用技术条件》、GB/T 10125-2021《人造气氛腐蚀试验 盐雾试验》的标准，钢管的中性盐雾试验和铜加速乙酸盐雾试验均8级，金属件外观以及喷涂层、耐霉性均达到合格。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4、质量工艺配置要求：桌面厚度≥25mm，桌架管材≥30*1.0mm。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13</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曲木高脚吧凳440*470*740mm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850265" cy="1160780"/>
                  <wp:effectExtent l="0" t="0" r="3175" b="1270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14"/>
                          <a:srcRect t="2385"/>
                          <a:stretch>
                            <a:fillRect/>
                          </a:stretch>
                        </pic:blipFill>
                        <pic:spPr>
                          <a:xfrm>
                            <a:off x="0" y="0"/>
                            <a:ext cx="850265" cy="116078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1、椅面：曲木板，符合GB/T 39600-2021《人造板及其制品甲醛释放量分级》的标准，板材5%～16%含水率，静曲强度≥20MPa，弹性模量≥4000MPa，不含挥发性有机化合物。椅面整体分背和坐侧面一边为凸起面，坐面和侧边为下翻压弯设计。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2、椅面封边：采用“油漆”封边工艺，符合GB/T23997-2009《室内装饰装修用溶剂型聚氨酯木器涂料》的标准，油漆在容器中搅拌后均匀无硬块，VOC含量 ≤650 g/L ，油漆中的有害物质限量，VOC含量、甲醛含量、总铅（Pb）含量（限色漆、腻子和醇酸清漆）、可溶性重金属含量（限色漆、腻子和醇酸清漆），镉（Cd）铬（Cr）、汞（Hg）均达到合格。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3、椅架采用直径≥9mm圆管，壁厚≥1.0mm，通过磨具一次成型椅架，椅架整体框架式结构，整体稳固。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14</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聚酯高脚吧凳480*470*815mm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704215" cy="1124585"/>
                  <wp:effectExtent l="0" t="0" r="12065" b="3175"/>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5" cstate="print"/>
                          <a:srcRect/>
                          <a:stretch>
                            <a:fillRect/>
                          </a:stretch>
                        </pic:blipFill>
                        <pic:spPr>
                          <a:xfrm>
                            <a:off x="0" y="0"/>
                            <a:ext cx="704215" cy="1124585"/>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1、椅面：采用PU聚氨酯软面坐面，感官要求:颜色均匀，无杂色、黄心,无对穿孔和气孔,无裂缝,两侧无表皮,无污染，无刺激性气味。拉伸强度≥20KPa；伸长率≥100%；回弹率≥35%。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2、椅架采用直径≥10mm圆管，壁厚≥1.0mm，通过磨具一次成型椅架，椅架整体框架式结构，整体稳固。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3、五金配件：采用止退螺母连接配件，金属件应无锈蚀、脱落、锐棱。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15</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定制花箱隔断宽度300mm，高度1050mm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87755" cy="1292225"/>
                  <wp:effectExtent l="0" t="0" r="9525"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6" cstate="print"/>
                          <a:srcRect/>
                          <a:stretch>
                            <a:fillRect/>
                          </a:stretch>
                        </pic:blipFill>
                        <pic:spPr>
                          <a:xfrm>
                            <a:off x="0" y="0"/>
                            <a:ext cx="1087755" cy="1292225"/>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1、基材:实木多层板，符合GB/T 39600-2021《人造板及其制品甲醛释放量分级》的标准。其中板的理化性能强度≥4000MPa，总挥发性有机化合物（TVOC）≤0.50mg/m²。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2、板面饰面：采用高温热压三聚氰胺浸渍纸一次性成型饰面， 符合LY/T 1831-2009《人造板饰面专用装饰纸》的标准；不含有甲醛释和挥发性有机化合物；理化性能：pH值6.5—7.5、纵向干抗张强度≥25N/15mm、纵向湿抗张强度≥6N/15mm、渗透性≤6s、耐热性1级、耐光色牢度≥6级；原纸外观质量：无破损、无污染、无异物、无色差、无皱纹、无裂口、无孔洞。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3、五金配件：采用沉头自攻螺丝连接配件，金属件应无锈蚀、脱落、锐棱。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4、特殊要求：花箱隔断必须固定地面，并且与卡座固定，与地面接触设计防潮不锈钢防潮地脚线。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16</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钢木椅410*510*800mm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787400" cy="1113790"/>
                  <wp:effectExtent l="0" t="0" r="5080" b="139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7" cstate="print"/>
                          <a:srcRect/>
                          <a:stretch>
                            <a:fillRect/>
                          </a:stretch>
                        </pic:blipFill>
                        <pic:spPr>
                          <a:xfrm>
                            <a:off x="0" y="0"/>
                            <a:ext cx="787400" cy="1113790"/>
                          </a:xfrm>
                          <a:prstGeom prst="rect">
                            <a:avLst/>
                          </a:prstGeom>
                          <a:noFill/>
                          <a:ln w="1">
                            <a:noFill/>
                            <a:miter lim="800000"/>
                            <a:headEnd/>
                            <a:tailEnd type="none" w="med" len="med"/>
                          </a:ln>
                          <a:effectLst/>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1、椅子内板：曲木板，符合GB/T 39600-2021《人造板及其制品甲醛释放量分级》的标准，板材5%～16%含水率，静曲强度≥20MPa，弹性模量≥4000MPa，不含挥发性有机化合物；板材的耐霉性能达到合格 。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2、椅面封边：采用“油漆”封边工艺，符合GB/T23997-2009《室内装饰装修用溶剂型聚氨酯木器涂料》的标准，油漆在容器中搅拌后均匀无硬块，VOC含量 ≤650 g/L ，油漆中的有害物质限量，VOC含量、甲醛含量、总铅（Pb）含量（限色漆、腻子和醇酸清漆）、可溶性重金属含量均达到合格。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3、椅架：采用冷轧钢板一次性折弯成型，冷轧钢板符合GB/T3325-2017《金属家具通用技术条件》，GB/T 10125-2021《人造气氛腐蚀试验》，GB/T 1741-2020《漆膜耐霉菌性测定法》的标准；冷轧钢板的外观性能、金属件喷涂层无漏喷、锈蚀和脱色、掉色现象，涂层光滑均匀、色泽一致，无流挂、疙瘩、皱皮、飞漆等缺陷；中性盐雾试验(NSS)和铜加速乙酸盐雾试验(CASS)均达到达到8级以上；耐霉性能：抗大肠埃希氏菌I级以及耐霉菌性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4、椅架处理工艺：钢件表面处理采用水洗-预脱脂-主脱脂-水洗-表调-皮膜-水洗-沥水-烘干-喷粉-粉末固化等多工位表面处理工艺。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17</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曲木板实木餐椅560*515*750mm</w:t>
            </w:r>
          </w:p>
        </w:tc>
        <w:tc>
          <w:tcPr>
            <w:tcW w:w="1872" w:type="dxa"/>
          </w:tcPr>
          <w:p>
            <w:pPr>
              <w:spacing w:line="360" w:lineRule="auto"/>
              <w:rPr>
                <w:rFonts w:hint="eastAsia" w:ascii="仿宋" w:hAnsi="仿宋" w:eastAsia="仿宋" w:cs="仿宋"/>
                <w:b w:val="0"/>
                <w:bCs w:val="0"/>
                <w:vertAlign w:val="baseline"/>
              </w:rPr>
            </w:pP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1、椅子内板：曲木板，符合GB/T 39600-2021《人造板及其制品甲醛释放量分级》的标准，板材5%～16%含水率，静曲强度≥20MPa，弹性模量≥4000MPa，不含挥发性有机化合物；板材的耐霉性能达到合格 。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2、椅面涂层：采用“油漆”涂层工艺，符合GB/T23997-2009《室内装饰装修用溶剂型聚氨酯木器涂料》的标准，油漆在容器中搅拌后均匀无硬块，VOC含量 ≤650 g/L ，油漆中的有害物质限量，VOC含量、甲醛含量、总铅（Pb）含量（限色漆、腻子和醇酸清漆）、可溶性重金属含量（限色漆、腻子和醇酸清漆），镉（Cd）铬（Cr）、汞（Hg）均达到合格。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3、椅子质量配置要求：座板厚度≥9mm，椅脚厚度≥20*15mm。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18</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定制卡座1400*600*950mm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156335" cy="1292860"/>
                  <wp:effectExtent l="0" t="0" r="1905" b="2540"/>
                  <wp:docPr id="2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3"/>
                          <pic:cNvPicPr>
                            <a:picLocks noChangeAspect="1" noChangeArrowheads="1"/>
                          </pic:cNvPicPr>
                        </pic:nvPicPr>
                        <pic:blipFill>
                          <a:blip r:embed="rId18" cstate="print"/>
                          <a:srcRect/>
                          <a:stretch>
                            <a:fillRect/>
                          </a:stretch>
                        </pic:blipFill>
                        <pic:spPr>
                          <a:xfrm>
                            <a:off x="0" y="0"/>
                            <a:ext cx="1156335" cy="1292860"/>
                          </a:xfrm>
                          <a:prstGeom prst="rect">
                            <a:avLst/>
                          </a:prstGeom>
                          <a:noFill/>
                          <a:ln w="9525">
                            <a:noFill/>
                            <a:miter lim="800000"/>
                            <a:headEnd/>
                            <a:tailEnd/>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1、卡座架基材:实木多层板，符合GB/T 39600-2021《人造板及其制品甲醛释放量分级》，JC/T 2039-2010《抗菌防霉木质装饰板》标准。其中板的理化性能强度≥4000MPa，总挥发性有机化合物（TVOC）≤0.50mg/m²；板材的防霉性能（黑曲霉）达到合格。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2、海绵：物理学性能：回弹率≥35%，25%压陷硬度≥250N,拉伸强度≥100KPa，干热老化后拉伸强度≥55KPa，湿热老化后拉伸强度≥55KPa。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3、坐和背皮面：采用人造科技皮，感官要求:颜色均匀，无杂色、黄心,无对穿孔和气孔,无裂缝,两侧无表皮,无污染，无刺激性气味。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4、防污脚：采用橡胶木，所有基材都经过高温处理，不变形，无虫蛀，支承能力强。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19</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 xml:space="preserve"> 长条餐桌1400*700*750mm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174750" cy="876300"/>
                  <wp:effectExtent l="0" t="0" r="13970" b="7620"/>
                  <wp:docPr id="2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4"/>
                          <pic:cNvPicPr>
                            <a:picLocks noChangeAspect="1" noChangeArrowheads="1"/>
                          </pic:cNvPicPr>
                        </pic:nvPicPr>
                        <pic:blipFill>
                          <a:blip r:embed="rId19"/>
                          <a:srcRect/>
                          <a:stretch>
                            <a:fillRect/>
                          </a:stretch>
                        </pic:blipFill>
                        <pic:spPr>
                          <a:xfrm>
                            <a:off x="0" y="0"/>
                            <a:ext cx="1174750" cy="876300"/>
                          </a:xfrm>
                          <a:prstGeom prst="rect">
                            <a:avLst/>
                          </a:prstGeom>
                          <a:noFill/>
                          <a:ln w="9525">
                            <a:noFill/>
                            <a:miter lim="800000"/>
                            <a:headEnd/>
                            <a:tailEnd/>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1、桌面基材:实木多层板，符合GB/T 39600-2021《人造板及其制品甲醛释放量分级》的标准。其中板的理化性能强度≥4000MPa，总挥发性有机化合物（TVOC）≤0.50mg/m²。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2、桌架：采用橡胶木，符合GB/T 29894-2013《木材鉴别方法通则》的标准。树种鉴别包含:导管和管孔、轴向薄壁组织、木纤维、木射线、树胶道、宏观特征均符合橡胶木特征描述；木材含水率3%~13%；气干密度0.4g/cm³~0.7g/cm³。</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3、餐桌表面处理：采用“油漆”涂层工艺，符合GB/T23997-2009《室内装饰装修用溶剂型聚氨酯木器涂料》的标准，油漆在容器中搅拌后均匀无硬块，VOC含量 ≤650 g/L ，油漆中的有害物质限量，VOC含量、甲醛含量均达到合格。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4、五金配件：采用沉头自攻螺丝连接配件，金属件应无锈蚀、脱落、锐棱。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5、质量配置要求：台面厚度≥25mm，桌脚≥30mm。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20</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圆几φ480*500mm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996315" cy="1071245"/>
                  <wp:effectExtent l="0" t="0" r="9525" b="10795"/>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20" cstate="print"/>
                          <a:stretch>
                            <a:fillRect/>
                          </a:stretch>
                        </pic:blipFill>
                        <pic:spPr>
                          <a:xfrm>
                            <a:off x="0" y="0"/>
                            <a:ext cx="996315" cy="1071245"/>
                          </a:xfrm>
                          <a:prstGeom prst="rect">
                            <a:avLst/>
                          </a:prstGeom>
                          <a:noFill/>
                          <a:ln w="9525">
                            <a:noFill/>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1、面板基材：采用E0级中密度纤维板 符合GB/T 11718-2021《中密度纤维板》，GB/T 39600-2021《人造板及其制品甲醛释放量分级》，GB/T 35601-2017《绿色产品评价人造板和木质地板》的标准；含水率3.0%~13.0%；物理力学性能，静曲强度≥24.0MPa、弹性模量≥2300MPa， 不含挥发性有机化合物苯、甲苯、二甲苯、总挥发性有机化合物(TVOC)；燃烧性能等级B1（B）级。</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2、支架：采用冷轧钢管，符合GB/T3325-2017《金属家具通用技术条件》的标准， 外观性能、金属件喷涂层无漏喷、锈蚀和脱色、掉色现象，涂层光滑均匀、色泽一致，无流挂、疙瘩、皱皮、飞漆等缺陷 中性盐雾试验(NSS)和铜加速乙酸盐雾试验(CASS)均达到达到8级以上；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3、椅架处理工艺：钢件表面处理采用水洗-预脱脂-主脱脂-水洗-表调-皮膜-水洗-沥水-烘干-喷粉-粉末固化等多工位表面处理工艺。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21</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躺椅750*710*900mm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42670" cy="1232535"/>
                  <wp:effectExtent l="0" t="0" r="8890" b="1905"/>
                  <wp:docPr id="3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pic:cNvPicPr>
                            <a:picLocks noChangeAspect="1"/>
                          </pic:cNvPicPr>
                        </pic:nvPicPr>
                        <pic:blipFill>
                          <a:blip r:embed="rId21" cstate="print"/>
                          <a:stretch>
                            <a:fillRect/>
                          </a:stretch>
                        </pic:blipFill>
                        <pic:spPr>
                          <a:xfrm>
                            <a:off x="0" y="0"/>
                            <a:ext cx="1042670" cy="1232535"/>
                          </a:xfrm>
                          <a:prstGeom prst="rect">
                            <a:avLst/>
                          </a:prstGeom>
                          <a:noFill/>
                          <a:ln w="9525">
                            <a:noFill/>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1、躺椅面料：采用科技布，符合HJ 2546-2016《环境标志产品技术要求纺织产品》的标准；绒布不含甲醛，pH值4.0~7.5，染色牢度：耐水、耐酸汗渍、耐碱汗渍、耐唾液、耐干摩擦均达到合格。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2、躺椅海绵：物理学性能：回弹率≥48%，拉伸强度≥100KPa，干热老化后拉伸强度≥55KPa。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3、躺椅软体部分支撑回弹：采用绷带，符合HJ 2546-2016《环境标志产品技术要求纺织产品》的标准；不含有甲醛含量，绷带耐酸汗渍、耐碱汗渍、耐唾液、耐干摩擦性均达到合格；绷带中不含有害物质限制要求可萃取的重金属：砷、铅、铬、钴、铜、镍、镉、锑、汞。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4、椅架：采用钢管，钢管的外观性能、金属件喷涂层无漏喷、锈蚀和脱色、掉色现象，涂层光滑均匀、色泽一致，无流挂、疙瘩、皱皮、飞漆等缺陷；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22</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布艺沙发2020*760*940mm</w:t>
            </w:r>
          </w:p>
        </w:tc>
        <w:tc>
          <w:tcPr>
            <w:tcW w:w="1872" w:type="dxa"/>
          </w:tcPr>
          <w:p>
            <w:pPr>
              <w:spacing w:line="360" w:lineRule="auto"/>
              <w:jc w:val="center"/>
              <w:rPr>
                <w:rFonts w:hint="eastAsia" w:ascii="仿宋" w:hAnsi="仿宋" w:eastAsia="仿宋" w:cs="仿宋"/>
                <w:b w:val="0"/>
                <w:bCs w:val="0"/>
                <w:vertAlign w:val="baseline"/>
              </w:rPr>
            </w:pPr>
            <w:r>
              <w:rPr>
                <w:b w:val="0"/>
                <w:bCs w:val="0"/>
              </w:rPr>
              <w:drawing>
                <wp:inline distT="0" distB="0" distL="114300" distR="114300">
                  <wp:extent cx="1009650" cy="635000"/>
                  <wp:effectExtent l="0" t="0" r="11430" b="5080"/>
                  <wp:docPr id="3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pic:cNvPicPr>
                            <a:picLocks noChangeAspect="1" noChangeArrowheads="1"/>
                          </pic:cNvPicPr>
                        </pic:nvPicPr>
                        <pic:blipFill>
                          <a:blip r:embed="rId22" cstate="print"/>
                          <a:srcRect/>
                          <a:stretch>
                            <a:fillRect/>
                          </a:stretch>
                        </pic:blipFill>
                        <pic:spPr>
                          <a:xfrm>
                            <a:off x="0" y="0"/>
                            <a:ext cx="1009650" cy="635000"/>
                          </a:xfrm>
                          <a:prstGeom prst="rect">
                            <a:avLst/>
                          </a:prstGeom>
                          <a:noFill/>
                          <a:ln w="9525">
                            <a:noFill/>
                            <a:miter lim="800000"/>
                            <a:headEnd/>
                            <a:tailEnd/>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1、沙发软体面料：采用绒布，符合HJ 2546-2016《环境标志产品技术要求纺织产品》的标准；绒布不含甲醛和可分解致癌芳香胺染料，pH值4.0~7.5，染色牢度：耐水、耐酸汗渍、耐碱汗渍、耐唾液、耐干摩擦均达到合格；绒布中有害物质限制要求可萃取的重金属：砷、铅、铬、钴、铜、镍、镉、锑、汞均不含有达到合格；燃烧性能：阻燃性能1级均达到合格。</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2、海绵：物理学性能：回弹率≥42%，25%压陷硬度≥250N,拉伸强度≥100KPa，干热老化后拉伸强度≥55KPa，湿热老化后拉伸强度≥55KPa。</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3、沙发内部支撑回弹：采用弹簧，符合GB/T 3325-2017《金属家具通用技术条件》，GB/T 10125-2021《人造气氛腐蚀试验》的标准；弹簧外观性能要求：金属件喷涂层无漏喷、锈蚀和脱色、掉色现象，涂层光滑均匀、色泽一致，无流挂、疙瘩、皱皮、飞漆等缺陷；铜加速乙酸盐雾试验(CASS)均达到8级以上。</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4、成品布艺沙发符合QB/T 1952.1-2012《软体家具 沙发》 ，GB/T 35607-2017《绿色产品评价—家具》的标准。</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5、椅架处理工艺：钢件表面处理采用水洗-预脱脂-主脱脂-水洗-表调-皮膜-水洗-沥水-烘干-喷粉-粉末固化等多工位表面处理工艺。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7"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23</w:t>
            </w:r>
          </w:p>
        </w:tc>
        <w:tc>
          <w:tcPr>
            <w:tcW w:w="1073" w:type="dxa"/>
            <w:vAlign w:val="center"/>
          </w:tcPr>
          <w:p>
            <w:pPr>
              <w:keepNext w:val="0"/>
              <w:keepLines w:val="0"/>
              <w:widowControl/>
              <w:suppressLineNumbers w:val="0"/>
              <w:jc w:val="center"/>
              <w:textAlignment w:val="center"/>
              <w:rPr>
                <w:rFonts w:hint="eastAsia" w:ascii="仿宋" w:hAnsi="仿宋" w:eastAsia="仿宋" w:cs="仿宋"/>
                <w:b w:val="0"/>
                <w:bCs w:val="0"/>
                <w:vertAlign w:val="baseline"/>
              </w:rPr>
            </w:pPr>
            <w:r>
              <w:rPr>
                <w:rFonts w:hint="eastAsia" w:ascii="宋体" w:hAnsi="宋体" w:eastAsia="宋体" w:cs="宋体"/>
                <w:b w:val="0"/>
                <w:bCs w:val="0"/>
                <w:i w:val="0"/>
                <w:iCs w:val="0"/>
                <w:color w:val="000000"/>
                <w:kern w:val="0"/>
                <w:sz w:val="24"/>
                <w:szCs w:val="24"/>
                <w:u w:val="none"/>
                <w:lang w:val="en-US" w:eastAsia="zh-CN" w:bidi="ar"/>
              </w:rPr>
              <w:t>定制茶桌1800*700*750mm</w:t>
            </w:r>
          </w:p>
        </w:tc>
        <w:tc>
          <w:tcPr>
            <w:tcW w:w="1872" w:type="dxa"/>
          </w:tcPr>
          <w:p>
            <w:pPr>
              <w:spacing w:line="360" w:lineRule="auto"/>
              <w:rPr>
                <w:rFonts w:hint="eastAsia" w:ascii="仿宋" w:hAnsi="仿宋" w:eastAsia="仿宋" w:cs="仿宋"/>
                <w:b w:val="0"/>
                <w:bCs w:val="0"/>
                <w:vertAlign w:val="baseline"/>
              </w:rPr>
            </w:pPr>
            <w:r>
              <w:rPr>
                <w:b w:val="0"/>
                <w:bCs w:val="0"/>
              </w:rPr>
              <w:drawing>
                <wp:inline distT="0" distB="0" distL="114300" distR="114300">
                  <wp:extent cx="1036955" cy="516255"/>
                  <wp:effectExtent l="0" t="0" r="14605" b="1905"/>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23" cstate="print"/>
                          <a:srcRect l="5080" t="9140" r="7130" b="6114"/>
                          <a:stretch>
                            <a:fillRect/>
                          </a:stretch>
                        </pic:blipFill>
                        <pic:spPr>
                          <a:xfrm>
                            <a:off x="0" y="0"/>
                            <a:ext cx="1036955" cy="516255"/>
                          </a:xfrm>
                          <a:prstGeom prst="rect">
                            <a:avLst/>
                          </a:prstGeom>
                          <a:noFill/>
                          <a:ln w="9525">
                            <a:noFill/>
                          </a:ln>
                        </pic:spPr>
                      </pic:pic>
                    </a:graphicData>
                  </a:graphic>
                </wp:inline>
              </w:drawing>
            </w:r>
          </w:p>
        </w:tc>
        <w:tc>
          <w:tcPr>
            <w:tcW w:w="4830" w:type="dxa"/>
          </w:tcPr>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1、桌架：采用橡胶木，符合GB/T 29894-2013《木材鉴别方法通则》的标准。树种鉴别包含:导管和管孔、轴向薄壁组织、木纤维、木射线、树胶道、宏观特征均符合橡胶木特征描述；木材含水率3%~13%；气干密度0.4g/cm³~0.7g/cm³。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2、涂层处理：采用“油漆”涂层工艺，符合GB/T23997-2009《室内装饰装修用溶剂型聚氨酯木器涂料》的标准，油漆在容器中搅拌后均匀无硬块，VOC含量 ≤650 g/L ，油漆中的有害物质限量，VOC含量、甲醛含量、总铅（Pb）含量均达到合格。                                                              </w:t>
            </w:r>
          </w:p>
          <w:p>
            <w:pPr>
              <w:spacing w:line="360" w:lineRule="auto"/>
              <w:rPr>
                <w:rFonts w:hint="eastAsia" w:ascii="仿宋" w:hAnsi="仿宋" w:eastAsia="仿宋" w:cs="仿宋"/>
                <w:b w:val="0"/>
                <w:bCs w:val="0"/>
                <w:vertAlign w:val="baseline"/>
              </w:rPr>
            </w:pPr>
            <w:r>
              <w:rPr>
                <w:rFonts w:hint="eastAsia" w:ascii="仿宋" w:hAnsi="仿宋" w:eastAsia="仿宋" w:cs="仿宋"/>
                <w:b w:val="0"/>
                <w:bCs w:val="0"/>
                <w:vertAlign w:val="baseline"/>
              </w:rPr>
              <w:t xml:space="preserve">3、桌子质量工艺配置要求：桌子整体采用榫卯结构，台面厚度≥18mm，立柱≥30mm。 </w:t>
            </w: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r>
        <w:rPr>
          <w:rFonts w:hint="eastAsia" w:ascii="仿宋" w:hAnsi="仿宋" w:eastAsia="仿宋" w:cs="仿宋"/>
          <w:b/>
        </w:rPr>
        <w:t>四、主要商务要求</w:t>
      </w:r>
    </w:p>
    <w:tbl>
      <w:tblPr>
        <w:tblStyle w:val="11"/>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服务期限</w:t>
            </w:r>
          </w:p>
        </w:tc>
        <w:tc>
          <w:tcPr>
            <w:tcW w:w="6625"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标的提供地点</w:t>
            </w:r>
          </w:p>
        </w:tc>
        <w:tc>
          <w:tcPr>
            <w:tcW w:w="6625"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西华大学指定地点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投标有效期</w:t>
            </w:r>
          </w:p>
        </w:tc>
        <w:tc>
          <w:tcPr>
            <w:tcW w:w="6625"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从提交投标文件的截止之日起30日历天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付款方式</w:t>
            </w:r>
          </w:p>
        </w:tc>
        <w:tc>
          <w:tcPr>
            <w:tcW w:w="6625" w:type="dxa"/>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合同签订后支付合同金额的 20%，验收合格后支付合同金 </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额 80%，同时需要开具相应增值税发票。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验收要求</w:t>
            </w:r>
          </w:p>
        </w:tc>
        <w:tc>
          <w:tcPr>
            <w:tcW w:w="6625" w:type="dxa"/>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1.验收地点及时间：由采购人指定。</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2.验收时，双方必须同时在场，中标人所提供的产品不符合合同内容规定的，采购人有权拒绝验收。中标人应及时按本合同内容规定和采购人要求免费进行整改，直至验收合格，方视为中标人按本合同规定完成服务。验收合格的，由双方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其他</w:t>
            </w:r>
          </w:p>
        </w:tc>
        <w:tc>
          <w:tcPr>
            <w:tcW w:w="6625" w:type="dxa"/>
          </w:tcPr>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服务要求:</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1、包装与运输</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1.1、包装：商品使用的塑料、纸质、木质等包装材料或快递封装材料，包括封套、胶带、面单、包装袋/箱、填充物、集装袋、周转箱等应符合环保要求， 设备包装应坚固完好，能抗御运输、储存和装卸过程中正常冲击，振动和挤压， 并便于装卸和搬运。设备包装前检查包装材料的材质、规格和包装结构与所装产 品的规格和重量相适应。组件包装时安全，防止撞击，包装表面应清洁。组件排 放整齐，不可有高低不平。外包装箱表面不应该有突出的锁扣等装置，以避免箱体移位时发生拉挂等现象，影响箱体安全。</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1.2、运输：装运设备的运输工具应清洁、干燥、无污染物。敞车运输时，必须用防雨布盖好，以保证设备不被雨(雪)浸入。设备中转时，应堆放在库房内。 短暂露天堆放时，必须用防雨布盖好，产品在装卸时，应采用合适的装卸方式， 严防将包装箱(件)损坏，包装箱应注意谨慎堆放，防止产品碰伤。装载时，集装 箱与包装箱之间、包装箱之间应用防震减压的填充物填实，不得留有空隙。防止 在运输途中造成货物之间互相碰撞、摩擦，避免发生箱体移位。避免货物在运载 工具上的堆码不当，使底层货物承载过重，造成包装破损，甚至商品在运输过程中变形，损坏。在运输过程中避免接触腐蚀性物质。</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1.3、安全责任：投标人将负责货物的运输、搬运、安装等一切安全责任。因实施过程中造成的直接或间接损失，均由投标人自行承担。</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2、售后服务及其他要求</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2.1、安装及调试：投标人应就设备的安装、调试、维修、保养等对采购人维修技术人员进行培训。设备安装调试完毕后，投标人应对采购人操作人员进行现场培训，直至采购人的技术人员能独立操作，同时能完成一般常见故障的维修工作。</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2.2、质保期及其它要求：质保期为验收合格后计算，不低于2年。质保期内出现质量问题，中标人在接到通知后 6小时内电话响应，24 小时内到达现场，完成维修或更换，并承担修理调换的所有费用。</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3、质量要求</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3.1 、中标人须提供全新的货物（含零部件、配件等），表面无划伤、无碰撞痕迹，且权属清楚，不得侵害他人的知识产权。 </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3.2、货物必须符合或优于国家（行业）标准，以及本项目招标文件的质量要求和技术指标与出厂标准。 </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3.3 、货物制造质量出现问题，中标人应负责三包（包修、包换、包退），费用由中标人负责。</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bookmarkStart w:id="0" w:name="_Toc21838"/>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4.项目实施方案</w:t>
            </w:r>
            <w:bookmarkEnd w:id="0"/>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投标人应针对本项目提供完善的实施方案：</w:t>
            </w:r>
            <w:bookmarkStart w:id="1" w:name="_Toc10350"/>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①材料供应质量控制措施，生产质量控制措施，成品质量控制措施；②货物运输时间安排，车辆运输管理制度；③产品运输保护措施，产品卸车保护措施；④安装进度安排、安装人员安全措施；⑤货物安装现场地面、墙面、过道等部位保护措施；</w:t>
            </w: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5.售后服务方案</w:t>
            </w:r>
            <w:bookmarkEnd w:id="1"/>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投标人应针对本项目提供完善的售后服务方案：①售后服务网点以及技术人员联系电话；②售后服务应急处理措施；③售后维修技术指导课程进度安排；④易耗品备件配备供应措施。</w:t>
            </w:r>
          </w:p>
          <w:p>
            <w:pPr>
              <w:pStyle w:val="2"/>
              <w:rPr>
                <w:rFonts w:hint="eastAsia"/>
                <w:lang w:val="en-US" w:eastAsia="zh-CN"/>
              </w:rPr>
            </w:pPr>
          </w:p>
          <w:p>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r>
        <w:rPr>
          <w:rFonts w:hint="eastAsia" w:ascii="仿宋" w:hAnsi="仿宋" w:eastAsia="仿宋" w:cs="仿宋"/>
          <w:b/>
        </w:rPr>
        <w:t>五、评审方法及分值</w:t>
      </w:r>
    </w:p>
    <w:p>
      <w:pPr>
        <w:spacing w:line="360" w:lineRule="auto"/>
        <w:ind w:firstLine="422" w:firstLineChars="200"/>
        <w:rPr>
          <w:rFonts w:hint="eastAsia" w:ascii="仿宋" w:hAnsi="仿宋" w:eastAsia="仿宋" w:cs="仿宋"/>
          <w:b/>
        </w:rPr>
      </w:pPr>
      <w:r>
        <w:rPr>
          <w:rFonts w:hint="eastAsia" w:ascii="仿宋" w:hAnsi="仿宋" w:eastAsia="仿宋" w:cs="仿宋"/>
          <w:b/>
        </w:rPr>
        <w:t>评审方法：综合评分法</w:t>
      </w:r>
    </w:p>
    <w:tbl>
      <w:tblPr>
        <w:tblStyle w:val="10"/>
        <w:tblW w:w="6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901"/>
        <w:gridCol w:w="147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序号</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评分因素</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分值</w:t>
            </w:r>
          </w:p>
        </w:tc>
        <w:tc>
          <w:tcPr>
            <w:tcW w:w="1299"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rPr>
              <w:t>报价</w:t>
            </w:r>
            <w:r>
              <w:rPr>
                <w:rFonts w:hint="eastAsia" w:ascii="仿宋" w:hAnsi="仿宋" w:eastAsia="仿宋" w:cs="仿宋"/>
                <w:sz w:val="18"/>
                <w:szCs w:val="18"/>
                <w:lang w:val="en-US" w:eastAsia="zh-CN"/>
              </w:rPr>
              <w:t>30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30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30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30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产品质量及环保型3</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3</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18</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18</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项目实施方案5%</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实物样品展示9%</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default" w:ascii="仿宋" w:hAnsi="仿宋" w:eastAsia="仿宋" w:cs="仿宋"/>
          <w:b/>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jc5MzU2ZDE0NzJhZTQzOGQxNWViMjM5NmU1YjQifQ=="/>
    <w:docVar w:name="KSO_WPS_MARK_KEY" w:val="bb25c515-73d4-4925-a44d-b44e2a96dafb"/>
  </w:docVars>
  <w:rsids>
    <w:rsidRoot w:val="00895A15"/>
    <w:rsid w:val="00220833"/>
    <w:rsid w:val="003E4A0C"/>
    <w:rsid w:val="00447D67"/>
    <w:rsid w:val="004C3BCB"/>
    <w:rsid w:val="004E00CB"/>
    <w:rsid w:val="004E65CD"/>
    <w:rsid w:val="00555235"/>
    <w:rsid w:val="006E62A9"/>
    <w:rsid w:val="007778CB"/>
    <w:rsid w:val="00895A15"/>
    <w:rsid w:val="0096136F"/>
    <w:rsid w:val="00A452BD"/>
    <w:rsid w:val="00E450DB"/>
    <w:rsid w:val="00FB4AF0"/>
    <w:rsid w:val="00FC3B8B"/>
    <w:rsid w:val="00FF5838"/>
    <w:rsid w:val="00FF594A"/>
    <w:rsid w:val="019127B6"/>
    <w:rsid w:val="03722B8F"/>
    <w:rsid w:val="03BC0D3F"/>
    <w:rsid w:val="09D6775D"/>
    <w:rsid w:val="13E1587A"/>
    <w:rsid w:val="13F61F0C"/>
    <w:rsid w:val="1C9A7E1E"/>
    <w:rsid w:val="1E9F6C6F"/>
    <w:rsid w:val="2424020B"/>
    <w:rsid w:val="2CF03F85"/>
    <w:rsid w:val="2D2C42AF"/>
    <w:rsid w:val="31030DBF"/>
    <w:rsid w:val="316802C2"/>
    <w:rsid w:val="382D1781"/>
    <w:rsid w:val="386E1A9D"/>
    <w:rsid w:val="44FA6A22"/>
    <w:rsid w:val="453641BF"/>
    <w:rsid w:val="48C57A10"/>
    <w:rsid w:val="49892535"/>
    <w:rsid w:val="4B1D5B44"/>
    <w:rsid w:val="4C056A16"/>
    <w:rsid w:val="4C936320"/>
    <w:rsid w:val="4E274480"/>
    <w:rsid w:val="506D346E"/>
    <w:rsid w:val="55925E3C"/>
    <w:rsid w:val="56C53E05"/>
    <w:rsid w:val="5A7140A7"/>
    <w:rsid w:val="5D641F1C"/>
    <w:rsid w:val="5F586E3A"/>
    <w:rsid w:val="64E45081"/>
    <w:rsid w:val="651838A9"/>
    <w:rsid w:val="67DE35FD"/>
    <w:rsid w:val="6B9240B0"/>
    <w:rsid w:val="6DF03896"/>
    <w:rsid w:val="70DE5573"/>
    <w:rsid w:val="71135756"/>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5"/>
    <w:autoRedefine/>
    <w:qFormat/>
    <w:uiPriority w:val="0"/>
    <w:pPr>
      <w:spacing w:after="120"/>
    </w:pPr>
  </w:style>
  <w:style w:type="paragraph" w:styleId="4">
    <w:name w:val="Normal Indent"/>
    <w:basedOn w:val="1"/>
    <w:autoRedefine/>
    <w:unhideWhenUsed/>
    <w:qFormat/>
    <w:uiPriority w:val="99"/>
    <w:pPr>
      <w:ind w:firstLine="420" w:firstLineChars="200"/>
      <w:jc w:val="left"/>
    </w:pPr>
  </w:style>
  <w:style w:type="paragraph" w:styleId="5">
    <w:name w:val="Body Text Indent"/>
    <w:basedOn w:val="1"/>
    <w:autoRedefine/>
    <w:qFormat/>
    <w:uiPriority w:val="0"/>
    <w:pPr>
      <w:ind w:firstLine="795"/>
    </w:pPr>
    <w:rPr>
      <w:rFonts w:ascii="Times New Roman"/>
      <w:kern w:val="2"/>
      <w:sz w:val="32"/>
    </w:rPr>
  </w:style>
  <w:style w:type="paragraph" w:styleId="6">
    <w:name w:val="Plain Text"/>
    <w:basedOn w:val="1"/>
    <w:next w:val="4"/>
    <w:link w:val="16"/>
    <w:autoRedefine/>
    <w:qFormat/>
    <w:uiPriority w:val="0"/>
    <w:rPr>
      <w:rFonts w:ascii="宋体" w:hAnsi="Courier New"/>
      <w:kern w:val="0"/>
      <w:sz w:val="20"/>
      <w:szCs w:val="21"/>
    </w:rPr>
  </w:style>
  <w:style w:type="paragraph" w:styleId="7">
    <w:name w:val="Balloon Text"/>
    <w:basedOn w:val="1"/>
    <w:link w:val="21"/>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semiHidden/>
    <w:unhideWhenUsed/>
    <w:qFormat/>
    <w:uiPriority w:val="99"/>
    <w:rPr>
      <w:color w:val="0000FF"/>
      <w:u w:val="single"/>
    </w:rPr>
  </w:style>
  <w:style w:type="character" w:customStyle="1" w:styleId="14">
    <w:name w:val="font11"/>
    <w:basedOn w:val="12"/>
    <w:autoRedefine/>
    <w:qFormat/>
    <w:uiPriority w:val="0"/>
    <w:rPr>
      <w:rFonts w:hint="eastAsia" w:ascii="宋体" w:hAnsi="宋体" w:eastAsia="宋体" w:cs="宋体"/>
      <w:b/>
      <w:bCs/>
      <w:color w:val="000000"/>
      <w:sz w:val="20"/>
      <w:szCs w:val="20"/>
      <w:u w:val="none"/>
    </w:rPr>
  </w:style>
  <w:style w:type="character" w:customStyle="1" w:styleId="15">
    <w:name w:val="正文文本 Char"/>
    <w:basedOn w:val="12"/>
    <w:link w:val="2"/>
    <w:autoRedefine/>
    <w:qFormat/>
    <w:uiPriority w:val="0"/>
  </w:style>
  <w:style w:type="character" w:customStyle="1" w:styleId="16">
    <w:name w:val="纯文本 Char"/>
    <w:basedOn w:val="12"/>
    <w:link w:val="6"/>
    <w:autoRedefine/>
    <w:qFormat/>
    <w:uiPriority w:val="0"/>
    <w:rPr>
      <w:rFonts w:ascii="宋体" w:hAnsi="Courier New"/>
      <w:kern w:val="0"/>
      <w:sz w:val="20"/>
      <w:szCs w:val="21"/>
    </w:rPr>
  </w:style>
  <w:style w:type="paragraph" w:customStyle="1" w:styleId="17">
    <w:name w:val="Default"/>
    <w:autoRedefine/>
    <w:unhideWhenUsed/>
    <w:qFormat/>
    <w:uiPriority w:val="99"/>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character" w:customStyle="1" w:styleId="18">
    <w:name w:val="font31"/>
    <w:basedOn w:val="12"/>
    <w:autoRedefine/>
    <w:qFormat/>
    <w:uiPriority w:val="0"/>
    <w:rPr>
      <w:rFonts w:hint="eastAsia" w:ascii="宋体" w:hAnsi="宋体" w:eastAsia="宋体" w:cs="宋体"/>
      <w:b/>
      <w:bCs/>
      <w:color w:val="000000"/>
      <w:sz w:val="20"/>
      <w:szCs w:val="20"/>
      <w:u w:val="none"/>
    </w:rPr>
  </w:style>
  <w:style w:type="character" w:customStyle="1" w:styleId="19">
    <w:name w:val="页眉 Char"/>
    <w:basedOn w:val="12"/>
    <w:link w:val="9"/>
    <w:autoRedefine/>
    <w:qFormat/>
    <w:uiPriority w:val="99"/>
    <w:rPr>
      <w:sz w:val="18"/>
      <w:szCs w:val="18"/>
    </w:rPr>
  </w:style>
  <w:style w:type="character" w:customStyle="1" w:styleId="20">
    <w:name w:val="页脚 Char"/>
    <w:basedOn w:val="12"/>
    <w:link w:val="8"/>
    <w:autoRedefine/>
    <w:qFormat/>
    <w:uiPriority w:val="99"/>
    <w:rPr>
      <w:sz w:val="18"/>
      <w:szCs w:val="18"/>
    </w:rPr>
  </w:style>
  <w:style w:type="character" w:customStyle="1" w:styleId="21">
    <w:name w:val="批注框文本 Char"/>
    <w:basedOn w:val="12"/>
    <w:link w:val="7"/>
    <w:autoRedefine/>
    <w:semiHidden/>
    <w:qFormat/>
    <w:uiPriority w:val="99"/>
    <w:rPr>
      <w:sz w:val="18"/>
      <w:szCs w:val="18"/>
    </w:rPr>
  </w:style>
  <w:style w:type="character" w:customStyle="1" w:styleId="22">
    <w:name w:val="font21"/>
    <w:basedOn w:val="12"/>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20.jpe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4412</Words>
  <Characters>5291</Characters>
  <Lines>139</Lines>
  <Paragraphs>39</Paragraphs>
  <TotalTime>11</TotalTime>
  <ScaleCrop>false</ScaleCrop>
  <LinksUpToDate>false</LinksUpToDate>
  <CharactersWithSpaces>5346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张勇</cp:lastModifiedBy>
  <dcterms:modified xsi:type="dcterms:W3CDTF">2024-05-21T03:42:26Z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42DC672BA65F448EA093ECC6D07868DB_13</vt:lpwstr>
  </property>
</Properties>
</file>