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643" w:firstLineChars="200"/>
        <w:jc w:val="center"/>
        <w:rPr>
          <w:rFonts w:hint="eastAsia" w:ascii="仿宋" w:hAnsi="仿宋" w:eastAsia="仿宋" w:cs="仿宋"/>
          <w:b/>
          <w:sz w:val="32"/>
          <w:szCs w:val="36"/>
          <w:lang w:val="en-US" w:eastAsia="zh-CN"/>
        </w:rPr>
      </w:pPr>
      <w:r>
        <w:rPr>
          <w:rFonts w:hint="eastAsia" w:ascii="仿宋" w:hAnsi="仿宋" w:eastAsia="仿宋" w:cs="仿宋"/>
          <w:b/>
          <w:sz w:val="32"/>
          <w:szCs w:val="36"/>
        </w:rPr>
        <w:fldChar w:fldCharType="begin"/>
      </w:r>
      <w:r>
        <w:rPr>
          <w:rFonts w:hint="eastAsia" w:ascii="仿宋" w:hAnsi="仿宋" w:eastAsia="仿宋" w:cs="仿宋"/>
          <w:b/>
          <w:sz w:val="32"/>
          <w:szCs w:val="36"/>
        </w:rPr>
        <w:instrText xml:space="preserve"> HYPERLINK "https://czpt.xhu.edu.cn/sfw/e?page=base.task.detail&amp;bpmNo=2403170013" \t "https://czpt.xhu.edu.cn/sfw/_blank" </w:instrText>
      </w:r>
      <w:r>
        <w:rPr>
          <w:rFonts w:hint="eastAsia" w:ascii="仿宋" w:hAnsi="仿宋" w:eastAsia="仿宋" w:cs="仿宋"/>
          <w:b/>
          <w:sz w:val="32"/>
          <w:szCs w:val="36"/>
        </w:rPr>
        <w:fldChar w:fldCharType="separate"/>
      </w:r>
      <w:r>
        <w:rPr>
          <w:rFonts w:hint="eastAsia" w:ascii="仿宋" w:hAnsi="仿宋" w:eastAsia="仿宋" w:cs="仿宋"/>
          <w:b/>
          <w:sz w:val="32"/>
          <w:szCs w:val="36"/>
        </w:rPr>
        <w:t>西华大学2024年后勤总公司专用设备采购</w:t>
      </w:r>
      <w:r>
        <w:rPr>
          <w:rFonts w:hint="eastAsia" w:ascii="仿宋" w:hAnsi="仿宋" w:eastAsia="仿宋" w:cs="仿宋"/>
          <w:b/>
          <w:sz w:val="32"/>
          <w:szCs w:val="36"/>
        </w:rPr>
        <w:fldChar w:fldCharType="end"/>
      </w:r>
      <w:r>
        <w:rPr>
          <w:rFonts w:hint="eastAsia" w:ascii="仿宋" w:hAnsi="仿宋" w:eastAsia="仿宋" w:cs="仿宋"/>
          <w:b/>
          <w:sz w:val="32"/>
          <w:szCs w:val="36"/>
          <w:lang w:val="en-US" w:eastAsia="zh-CN"/>
        </w:rPr>
        <w:t>项目</w:t>
      </w:r>
    </w:p>
    <w:p>
      <w:pPr>
        <w:spacing w:line="360" w:lineRule="auto"/>
        <w:ind w:firstLine="643" w:firstLineChars="200"/>
        <w:jc w:val="center"/>
        <w:rPr>
          <w:rFonts w:hint="default" w:ascii="仿宋" w:hAnsi="仿宋" w:eastAsia="仿宋" w:cs="仿宋"/>
          <w:b/>
          <w:sz w:val="32"/>
          <w:szCs w:val="36"/>
          <w:lang w:val="en-US" w:eastAsia="zh-CN"/>
        </w:rPr>
      </w:pPr>
      <w:r>
        <w:rPr>
          <w:rFonts w:hint="eastAsia" w:ascii="仿宋" w:hAnsi="仿宋" w:eastAsia="仿宋" w:cs="仿宋"/>
          <w:b/>
          <w:sz w:val="32"/>
          <w:szCs w:val="36"/>
          <w:lang w:val="en-US" w:eastAsia="zh-CN"/>
        </w:rPr>
        <w:t>需求文件</w:t>
      </w:r>
    </w:p>
    <w:p>
      <w:pPr>
        <w:spacing w:line="360" w:lineRule="auto"/>
        <w:ind w:firstLine="562" w:firstLineChars="200"/>
        <w:rPr>
          <w:rFonts w:hint="eastAsia" w:ascii="仿宋" w:hAnsi="仿宋" w:eastAsia="仿宋" w:cs="仿宋"/>
          <w:b/>
        </w:rPr>
      </w:pPr>
      <w:r>
        <w:rPr>
          <w:rFonts w:hint="eastAsia" w:ascii="仿宋" w:hAnsi="仿宋" w:eastAsia="仿宋" w:cs="仿宋"/>
          <w:b/>
          <w:sz w:val="28"/>
          <w:szCs w:val="32"/>
        </w:rPr>
        <w:t>一、项目概况</w:t>
      </w:r>
      <w:r>
        <w:rPr>
          <w:rFonts w:hint="eastAsia" w:ascii="仿宋" w:hAnsi="仿宋" w:eastAsia="仿宋" w:cs="仿宋"/>
          <w:b/>
        </w:rPr>
        <w:t xml:space="preserve">  </w:t>
      </w:r>
    </w:p>
    <w:p>
      <w:pPr>
        <w:numPr>
          <w:ilvl w:val="0"/>
          <w:numId w:val="0"/>
        </w:numPr>
        <w:adjustRightInd w:val="0"/>
        <w:snapToGrid w:val="0"/>
        <w:spacing w:line="52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val="en-US" w:eastAsia="zh-CN"/>
        </w:rPr>
        <w:t>2024年学校为确保后勤民生工程，提高西华大学后勤服务总公司的后勤服务能力，计划56万元专项资金用于购买食堂专用设备、其他后勤专用设备。</w:t>
      </w:r>
      <w:r>
        <w:rPr>
          <w:rFonts w:hint="eastAsia" w:ascii="仿宋" w:hAnsi="仿宋" w:eastAsia="仿宋" w:cs="仿宋"/>
          <w:sz w:val="24"/>
          <w:szCs w:val="24"/>
          <w:lang w:eastAsia="zh-CN"/>
        </w:rPr>
        <w:t>对部分旧设备进行更换，以完善我校相关办学及</w:t>
      </w:r>
      <w:r>
        <w:rPr>
          <w:rFonts w:hint="eastAsia" w:ascii="仿宋" w:hAnsi="仿宋" w:eastAsia="仿宋" w:cs="仿宋"/>
          <w:sz w:val="24"/>
          <w:szCs w:val="24"/>
          <w:lang w:val="en-US" w:eastAsia="zh-CN"/>
        </w:rPr>
        <w:t>后勤</w:t>
      </w:r>
      <w:r>
        <w:rPr>
          <w:rFonts w:hint="eastAsia" w:ascii="仿宋" w:hAnsi="仿宋" w:eastAsia="仿宋" w:cs="仿宋"/>
          <w:sz w:val="24"/>
          <w:szCs w:val="24"/>
          <w:lang w:eastAsia="zh-CN"/>
        </w:rPr>
        <w:t>服务条件，提高工作效率，为学校教学科研提供更优质的</w:t>
      </w:r>
      <w:r>
        <w:rPr>
          <w:rFonts w:hint="eastAsia" w:ascii="仿宋" w:hAnsi="仿宋" w:eastAsia="仿宋" w:cs="仿宋"/>
          <w:sz w:val="24"/>
          <w:szCs w:val="24"/>
          <w:lang w:val="en-US" w:eastAsia="zh-CN"/>
        </w:rPr>
        <w:t>后勤</w:t>
      </w:r>
      <w:r>
        <w:rPr>
          <w:rFonts w:hint="eastAsia" w:ascii="仿宋" w:hAnsi="仿宋" w:eastAsia="仿宋" w:cs="仿宋"/>
          <w:sz w:val="24"/>
          <w:szCs w:val="24"/>
          <w:lang w:eastAsia="zh-CN"/>
        </w:rPr>
        <w:t xml:space="preserve">服务。 </w:t>
      </w:r>
    </w:p>
    <w:p>
      <w:pPr>
        <w:spacing w:line="360" w:lineRule="auto"/>
        <w:ind w:firstLine="281" w:firstLineChars="100"/>
        <w:rPr>
          <w:rFonts w:hint="eastAsia" w:ascii="仿宋" w:hAnsi="仿宋" w:eastAsia="仿宋" w:cs="仿宋"/>
          <w:b/>
          <w:sz w:val="28"/>
          <w:szCs w:val="32"/>
        </w:rPr>
      </w:pPr>
      <w:r>
        <w:rPr>
          <w:rFonts w:hint="eastAsia" w:ascii="仿宋" w:hAnsi="仿宋" w:eastAsia="仿宋" w:cs="仿宋"/>
          <w:b/>
          <w:sz w:val="28"/>
          <w:szCs w:val="32"/>
        </w:rPr>
        <w:t>二、投标供应商的资格要求</w:t>
      </w:r>
    </w:p>
    <w:tbl>
      <w:tblPr>
        <w:tblStyle w:val="9"/>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717"/>
        <w:gridCol w:w="1969"/>
        <w:gridCol w:w="560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27" w:hRule="atLeast"/>
          <w:tblHeader/>
          <w:jc w:val="center"/>
        </w:trPr>
        <w:tc>
          <w:tcPr>
            <w:tcW w:w="717" w:type="dxa"/>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仿宋" w:hAnsi="仿宋" w:eastAsia="仿宋" w:cs="仿宋"/>
              </w:rPr>
            </w:pPr>
            <w:r>
              <w:rPr>
                <w:rFonts w:hint="eastAsia" w:ascii="仿宋" w:hAnsi="仿宋" w:eastAsia="仿宋" w:cs="仿宋"/>
              </w:rPr>
              <w:t>序号</w:t>
            </w:r>
          </w:p>
        </w:tc>
        <w:tc>
          <w:tcPr>
            <w:tcW w:w="1969" w:type="dxa"/>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仿宋" w:hAnsi="仿宋" w:eastAsia="仿宋" w:cs="仿宋"/>
              </w:rPr>
            </w:pPr>
            <w:r>
              <w:rPr>
                <w:rFonts w:hint="eastAsia" w:ascii="仿宋" w:hAnsi="仿宋" w:eastAsia="仿宋" w:cs="仿宋"/>
              </w:rPr>
              <w:t>资格要求名称</w:t>
            </w:r>
          </w:p>
        </w:tc>
        <w:tc>
          <w:tcPr>
            <w:tcW w:w="5604" w:type="dxa"/>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仿宋" w:hAnsi="仿宋" w:eastAsia="仿宋" w:cs="仿宋"/>
              </w:rPr>
            </w:pPr>
            <w:r>
              <w:rPr>
                <w:rFonts w:hint="eastAsia" w:ascii="仿宋" w:hAnsi="仿宋" w:eastAsia="仿宋" w:cs="仿宋"/>
              </w:rPr>
              <w:t>资格要求详细说明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605" w:hRule="atLeast"/>
          <w:jc w:val="center"/>
        </w:trPr>
        <w:tc>
          <w:tcPr>
            <w:tcW w:w="717" w:type="dxa"/>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仿宋" w:hAnsi="仿宋" w:eastAsia="仿宋" w:cs="仿宋"/>
              </w:rPr>
            </w:pPr>
            <w:r>
              <w:rPr>
                <w:rFonts w:hint="eastAsia" w:ascii="仿宋" w:hAnsi="仿宋" w:eastAsia="仿宋" w:cs="仿宋"/>
              </w:rPr>
              <w:t>1</w:t>
            </w:r>
          </w:p>
        </w:tc>
        <w:tc>
          <w:tcPr>
            <w:tcW w:w="1969" w:type="dxa"/>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仿宋" w:hAnsi="仿宋" w:eastAsia="仿宋" w:cs="仿宋"/>
              </w:rPr>
            </w:pPr>
            <w:r>
              <w:rPr>
                <w:rFonts w:hint="eastAsia" w:ascii="仿宋" w:hAnsi="仿宋" w:eastAsia="仿宋" w:cs="仿宋"/>
              </w:rPr>
              <w:t>投标人应具有独立承担民事责任的能力</w:t>
            </w:r>
          </w:p>
        </w:tc>
        <w:tc>
          <w:tcPr>
            <w:tcW w:w="5604" w:type="dxa"/>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仿宋" w:hAnsi="仿宋" w:eastAsia="仿宋" w:cs="仿宋"/>
              </w:rPr>
            </w:pPr>
            <w:r>
              <w:rPr>
                <w:rFonts w:hint="eastAsia" w:ascii="仿宋" w:hAnsi="仿宋" w:eastAsia="仿宋" w:cs="仿宋"/>
              </w:rPr>
              <w:t>营业执照（正本或副本）或法人登记证（正本或副本）或其他能够证明投标人具有独立承担民事责任能力的相关证明材料复印件【注：①营业执照或法人登记证或其他证明材料载明有期限的，应在有效期限内；②在中华人民共和国境内注册。】</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734" w:hRule="atLeast"/>
          <w:jc w:val="center"/>
        </w:trPr>
        <w:tc>
          <w:tcPr>
            <w:tcW w:w="717" w:type="dxa"/>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仿宋" w:hAnsi="仿宋" w:eastAsia="仿宋" w:cs="仿宋"/>
              </w:rPr>
            </w:pPr>
            <w:r>
              <w:rPr>
                <w:rFonts w:hint="eastAsia" w:ascii="仿宋" w:hAnsi="仿宋" w:eastAsia="仿宋" w:cs="仿宋"/>
              </w:rPr>
              <w:t>2</w:t>
            </w:r>
          </w:p>
        </w:tc>
        <w:tc>
          <w:tcPr>
            <w:tcW w:w="1969" w:type="dxa"/>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仿宋" w:hAnsi="仿宋" w:eastAsia="仿宋" w:cs="仿宋"/>
              </w:rPr>
            </w:pPr>
            <w:r>
              <w:rPr>
                <w:rFonts w:hint="eastAsia" w:ascii="仿宋" w:hAnsi="仿宋" w:eastAsia="仿宋" w:cs="仿宋"/>
              </w:rPr>
              <w:t>具有良好的商业信誉的证明材料；具有健全的财务会计制度的证明材料；缴纳社会保障资金的证明材料；缴纳税收的证明材料；参加政府采购活动前三年内，在经营活动中没有重大违法记录；供应商应提供履行合同所必需的设备和专业技术能力的证明材料；</w:t>
            </w:r>
          </w:p>
        </w:tc>
        <w:tc>
          <w:tcPr>
            <w:tcW w:w="5604" w:type="dxa"/>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仿宋" w:hAnsi="仿宋" w:eastAsia="仿宋" w:cs="仿宋"/>
              </w:rPr>
            </w:pPr>
            <w:r>
              <w:rPr>
                <w:rFonts w:hint="eastAsia" w:ascii="仿宋" w:hAnsi="仿宋" w:eastAsia="仿宋" w:cs="仿宋"/>
              </w:rPr>
              <w:t xml:space="preserve">1.投标人具有良好的商业信誉的书面声明材料。 </w:t>
            </w:r>
          </w:p>
          <w:p>
            <w:pPr>
              <w:rPr>
                <w:rFonts w:hint="eastAsia" w:ascii="仿宋" w:hAnsi="仿宋" w:eastAsia="仿宋" w:cs="仿宋"/>
              </w:rPr>
            </w:pPr>
            <w:r>
              <w:rPr>
                <w:rFonts w:hint="eastAsia" w:ascii="仿宋" w:hAnsi="仿宋" w:eastAsia="仿宋" w:cs="仿宋"/>
              </w:rPr>
              <w:t>2.投标人参加政府采购活动前三年内，在经营活动中没有重大违法记录的书面声明材料；</w:t>
            </w:r>
          </w:p>
          <w:p>
            <w:pPr>
              <w:rPr>
                <w:rFonts w:hint="eastAsia" w:ascii="仿宋" w:hAnsi="仿宋" w:eastAsia="仿宋" w:cs="仿宋"/>
              </w:rPr>
            </w:pPr>
            <w:r>
              <w:rPr>
                <w:rFonts w:hint="eastAsia" w:ascii="仿宋" w:hAnsi="仿宋" w:eastAsia="仿宋" w:cs="仿宋"/>
              </w:rPr>
              <w:t xml:space="preserve">3.投标人具有健全的财务会计制度的书面声明材料； </w:t>
            </w:r>
          </w:p>
          <w:p>
            <w:pPr>
              <w:rPr>
                <w:rFonts w:hint="eastAsia" w:ascii="仿宋" w:hAnsi="仿宋" w:eastAsia="仿宋" w:cs="仿宋"/>
              </w:rPr>
            </w:pPr>
            <w:r>
              <w:rPr>
                <w:rFonts w:hint="eastAsia" w:ascii="仿宋" w:hAnsi="仿宋" w:eastAsia="仿宋" w:cs="仿宋"/>
              </w:rPr>
              <w:t>4.投标人具有依法缴纳社会保障资金良好记录的书面声明材料；</w:t>
            </w:r>
          </w:p>
          <w:p>
            <w:pPr>
              <w:rPr>
                <w:rFonts w:hint="eastAsia" w:ascii="仿宋" w:hAnsi="仿宋" w:eastAsia="仿宋" w:cs="仿宋"/>
              </w:rPr>
            </w:pPr>
            <w:r>
              <w:rPr>
                <w:rFonts w:hint="eastAsia" w:ascii="仿宋" w:hAnsi="仿宋" w:eastAsia="仿宋" w:cs="仿宋"/>
              </w:rPr>
              <w:t>5.投标人具有依法缴纳税收良好记录的书面声明材料。 【说明：①投标人按招标文件要求提供书面声明材料；②资格审查小组根据“信用中国”和“中国政府采购网”网站的查询结果，在资格审查期间对投标人在参加政府采购活动前三年内，在经营活动中是否有重大违法记录进行审查。供应商需在项目电子化交易系统中按要求填写《投标函》完成承诺并进行电子签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648" w:hRule="atLeast"/>
          <w:jc w:val="center"/>
        </w:trPr>
        <w:tc>
          <w:tcPr>
            <w:tcW w:w="717" w:type="dxa"/>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仿宋" w:hAnsi="仿宋" w:eastAsia="仿宋" w:cs="仿宋"/>
              </w:rPr>
            </w:pPr>
            <w:r>
              <w:rPr>
                <w:rFonts w:hint="eastAsia" w:ascii="仿宋" w:hAnsi="仿宋" w:eastAsia="仿宋" w:cs="仿宋"/>
              </w:rPr>
              <w:t>3</w:t>
            </w:r>
          </w:p>
        </w:tc>
        <w:tc>
          <w:tcPr>
            <w:tcW w:w="1969" w:type="dxa"/>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仿宋" w:hAnsi="仿宋" w:eastAsia="仿宋" w:cs="仿宋"/>
              </w:rPr>
            </w:pPr>
            <w:r>
              <w:rPr>
                <w:rFonts w:hint="eastAsia" w:ascii="仿宋" w:hAnsi="仿宋" w:eastAsia="仿宋" w:cs="仿宋"/>
              </w:rPr>
              <w:t>未被列入失信被执行人、重大税收违法案件当事人名单、政府采购严重违法失信行为记录名单</w:t>
            </w:r>
          </w:p>
        </w:tc>
        <w:tc>
          <w:tcPr>
            <w:tcW w:w="5604" w:type="dxa"/>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仿宋" w:hAnsi="仿宋" w:eastAsia="仿宋" w:cs="仿宋"/>
              </w:rPr>
            </w:pPr>
            <w:r>
              <w:rPr>
                <w:rFonts w:hint="eastAsia" w:ascii="仿宋" w:hAnsi="仿宋" w:eastAsia="仿宋" w:cs="仿宋"/>
              </w:rPr>
              <w:t xml:space="preserve">1.投标人未列入失信被执行人、重大税收违法案件当事人名单、政府采购严重违法失信行为记录名单的书面声明材料。【说明：①投标人未列入失信被执行人、重大税收违法案件当事人名单、政府采购严重违法失信行为记录名单；②投标人提供书面声明材料。】 </w:t>
            </w:r>
          </w:p>
          <w:p>
            <w:pPr>
              <w:rPr>
                <w:rFonts w:hint="eastAsia" w:ascii="仿宋" w:hAnsi="仿宋" w:eastAsia="仿宋" w:cs="仿宋"/>
              </w:rPr>
            </w:pPr>
            <w:r>
              <w:rPr>
                <w:rFonts w:hint="eastAsia" w:ascii="仿宋" w:hAnsi="仿宋" w:eastAsia="仿宋" w:cs="仿宋"/>
              </w:rPr>
              <w:t>2.资格审查小组根据“信用中国”和“中国政府采购网”网站的查询结果，在资格审查期间对投标人是否被列入失信被执行人、重大税收违法案件当事人名单、政府采购严重违法失信行为记录名单进行审查。【说明：投标人未列入失信被执行人、重大税收违法案件当事人名单、政府采购严重违法失信行为记录名单。】</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218" w:hRule="atLeast"/>
          <w:jc w:val="center"/>
        </w:trPr>
        <w:tc>
          <w:tcPr>
            <w:tcW w:w="717" w:type="dxa"/>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仿宋" w:hAnsi="仿宋" w:eastAsia="仿宋" w:cs="仿宋"/>
              </w:rPr>
            </w:pPr>
            <w:r>
              <w:rPr>
                <w:rFonts w:hint="eastAsia" w:ascii="仿宋" w:hAnsi="仿宋" w:eastAsia="仿宋" w:cs="仿宋"/>
              </w:rPr>
              <w:t>4</w:t>
            </w:r>
          </w:p>
        </w:tc>
        <w:tc>
          <w:tcPr>
            <w:tcW w:w="1969" w:type="dxa"/>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仿宋" w:hAnsi="仿宋" w:eastAsia="仿宋" w:cs="仿宋"/>
              </w:rPr>
            </w:pPr>
            <w:r>
              <w:rPr>
                <w:rFonts w:hint="eastAsia" w:ascii="仿宋" w:hAnsi="仿宋" w:eastAsia="仿宋" w:cs="仿宋"/>
              </w:rPr>
              <w:t>未处于被行政部门禁止参与政府采购活动的期限内</w:t>
            </w:r>
          </w:p>
        </w:tc>
        <w:tc>
          <w:tcPr>
            <w:tcW w:w="5604" w:type="dxa"/>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仿宋" w:hAnsi="仿宋" w:eastAsia="仿宋" w:cs="仿宋"/>
              </w:rPr>
            </w:pPr>
            <w:r>
              <w:rPr>
                <w:rFonts w:hint="eastAsia" w:ascii="仿宋" w:hAnsi="仿宋" w:eastAsia="仿宋" w:cs="仿宋"/>
              </w:rPr>
              <w:t>投标人未处于被行政部门禁止参与政府采购活动的期限内。 【说明：①投标人按招标文件要求提供书面声明材料；②投标人未处于被行政部门禁止参与政府采购活动的期限内。】</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119" w:hRule="atLeast"/>
          <w:jc w:val="center"/>
        </w:trPr>
        <w:tc>
          <w:tcPr>
            <w:tcW w:w="717" w:type="dxa"/>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仿宋" w:hAnsi="仿宋" w:eastAsia="仿宋" w:cs="仿宋"/>
              </w:rPr>
            </w:pPr>
            <w:r>
              <w:rPr>
                <w:rFonts w:hint="eastAsia" w:ascii="仿宋" w:hAnsi="仿宋" w:eastAsia="仿宋" w:cs="仿宋"/>
              </w:rPr>
              <w:t>5</w:t>
            </w:r>
          </w:p>
        </w:tc>
        <w:tc>
          <w:tcPr>
            <w:tcW w:w="1969" w:type="dxa"/>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仿宋" w:hAnsi="仿宋" w:eastAsia="仿宋" w:cs="仿宋"/>
              </w:rPr>
            </w:pPr>
            <w:r>
              <w:rPr>
                <w:rFonts w:hint="eastAsia" w:ascii="仿宋" w:hAnsi="仿宋" w:eastAsia="仿宋" w:cs="仿宋"/>
              </w:rPr>
              <w:t>行贿犯罪记录</w:t>
            </w:r>
          </w:p>
        </w:tc>
        <w:tc>
          <w:tcPr>
            <w:tcW w:w="5604" w:type="dxa"/>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仿宋" w:hAnsi="仿宋" w:eastAsia="仿宋" w:cs="仿宋"/>
              </w:rPr>
            </w:pPr>
            <w:r>
              <w:rPr>
                <w:rFonts w:hint="eastAsia" w:ascii="仿宋" w:hAnsi="仿宋" w:eastAsia="仿宋" w:cs="仿宋"/>
              </w:rPr>
              <w:t>在行贿犯罪信息查询期限内，投标人及其现任法定代表人、主要负责人没有行贿犯罪记录的书面声明材料。 【说明：①按招标文件要求提供书面声明材料，投标文件中不需提供中国裁判文书网（https://wenshu.court.gov.cn）查询结果的证明材料；②在行贿犯罪信息查询期限内，供应商及其现任法定代表人、主要负责人没有行贿犯罪记录。】</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833" w:hRule="atLeast"/>
          <w:jc w:val="center"/>
        </w:trPr>
        <w:tc>
          <w:tcPr>
            <w:tcW w:w="717" w:type="dxa"/>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仿宋" w:hAnsi="仿宋" w:eastAsia="仿宋" w:cs="仿宋"/>
              </w:rPr>
            </w:pPr>
            <w:r>
              <w:rPr>
                <w:rFonts w:hint="eastAsia" w:ascii="仿宋" w:hAnsi="仿宋" w:eastAsia="仿宋" w:cs="仿宋"/>
              </w:rPr>
              <w:t>6</w:t>
            </w:r>
          </w:p>
        </w:tc>
        <w:tc>
          <w:tcPr>
            <w:tcW w:w="1969" w:type="dxa"/>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仿宋" w:hAnsi="仿宋" w:eastAsia="仿宋" w:cs="仿宋"/>
              </w:rPr>
            </w:pPr>
            <w:r>
              <w:rPr>
                <w:rFonts w:hint="eastAsia" w:ascii="仿宋" w:hAnsi="仿宋" w:eastAsia="仿宋" w:cs="仿宋"/>
              </w:rPr>
              <w:t>单位负责人为同一人或者存在直接控股、管理关系的不同供应商，不得参加同一项目的投标</w:t>
            </w:r>
          </w:p>
        </w:tc>
        <w:tc>
          <w:tcPr>
            <w:tcW w:w="5604" w:type="dxa"/>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仿宋" w:hAnsi="仿宋" w:eastAsia="仿宋" w:cs="仿宋"/>
              </w:rPr>
            </w:pPr>
            <w:r>
              <w:rPr>
                <w:rFonts w:hint="eastAsia" w:ascii="仿宋" w:hAnsi="仿宋" w:eastAsia="仿宋" w:cs="仿宋"/>
              </w:rPr>
              <w:t>负责人为同一人或者存在直接控股、管理关系的不同投标人未同时参加本项目书面声明材料。 【说明：①投标人按招标文件要求提供书面声明材料；②参加本项目采购活动的投标人中无与其他同时参加本项目的投标人负责人为同一人的情况，不存在直接控股、管理关系的投标人参加本项目的情况。】</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071" w:hRule="atLeast"/>
          <w:jc w:val="center"/>
        </w:trPr>
        <w:tc>
          <w:tcPr>
            <w:tcW w:w="717" w:type="dxa"/>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仿宋" w:hAnsi="仿宋" w:eastAsia="仿宋" w:cs="仿宋"/>
              </w:rPr>
            </w:pPr>
            <w:r>
              <w:rPr>
                <w:rFonts w:hint="eastAsia" w:ascii="仿宋" w:hAnsi="仿宋" w:eastAsia="仿宋" w:cs="仿宋"/>
              </w:rPr>
              <w:t>7</w:t>
            </w:r>
          </w:p>
        </w:tc>
        <w:tc>
          <w:tcPr>
            <w:tcW w:w="1969" w:type="dxa"/>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仿宋" w:hAnsi="仿宋" w:eastAsia="仿宋" w:cs="仿宋"/>
              </w:rPr>
            </w:pPr>
            <w:r>
              <w:rPr>
                <w:rFonts w:hint="eastAsia" w:ascii="仿宋" w:hAnsi="仿宋" w:eastAsia="仿宋" w:cs="仿宋"/>
              </w:rPr>
              <w:t>投标文件签章</w:t>
            </w:r>
          </w:p>
        </w:tc>
        <w:tc>
          <w:tcPr>
            <w:tcW w:w="5604" w:type="dxa"/>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仿宋" w:hAnsi="仿宋" w:eastAsia="仿宋" w:cs="仿宋"/>
              </w:rPr>
            </w:pPr>
            <w:r>
              <w:rPr>
                <w:rFonts w:hint="eastAsia" w:ascii="仿宋" w:hAnsi="仿宋" w:eastAsia="仿宋" w:cs="仿宋"/>
              </w:rPr>
              <w:t>投标文件加盖有投标人（法定名称）电子签章。【说明：无须提供证明材料，上传空白页即可，不对本项上传的材料作资格审查】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872" w:hRule="atLeast"/>
          <w:jc w:val="center"/>
        </w:trPr>
        <w:tc>
          <w:tcPr>
            <w:tcW w:w="717" w:type="dxa"/>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仿宋" w:hAnsi="仿宋" w:eastAsia="仿宋" w:cs="仿宋"/>
              </w:rPr>
            </w:pPr>
            <w:r>
              <w:rPr>
                <w:rFonts w:hint="eastAsia" w:ascii="仿宋" w:hAnsi="仿宋" w:eastAsia="仿宋" w:cs="仿宋"/>
              </w:rPr>
              <w:t>8</w:t>
            </w:r>
          </w:p>
        </w:tc>
        <w:tc>
          <w:tcPr>
            <w:tcW w:w="1969" w:type="dxa"/>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仿宋" w:hAnsi="仿宋" w:eastAsia="仿宋" w:cs="仿宋"/>
              </w:rPr>
            </w:pPr>
            <w:r>
              <w:rPr>
                <w:rFonts w:hint="eastAsia" w:ascii="仿宋" w:hAnsi="仿宋" w:eastAsia="仿宋" w:cs="仿宋"/>
              </w:rPr>
              <w:t>投标文件资格响应文件的语言</w:t>
            </w:r>
          </w:p>
        </w:tc>
        <w:tc>
          <w:tcPr>
            <w:tcW w:w="5604" w:type="dxa"/>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仿宋" w:hAnsi="仿宋" w:eastAsia="仿宋" w:cs="仿宋"/>
              </w:rPr>
            </w:pPr>
            <w:r>
              <w:rPr>
                <w:rFonts w:hint="eastAsia" w:ascii="仿宋" w:hAnsi="仿宋" w:eastAsia="仿宋" w:cs="仿宋"/>
              </w:rPr>
              <w:t>语言符合招标文件的要求。 【说明：投标人无须提供证明材料，上传空白页即可，不对本项上传的材料作资格审查】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46" w:hRule="atLeast"/>
          <w:jc w:val="center"/>
        </w:trPr>
        <w:tc>
          <w:tcPr>
            <w:tcW w:w="717" w:type="dxa"/>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仿宋" w:hAnsi="仿宋" w:eastAsia="仿宋" w:cs="仿宋"/>
              </w:rPr>
            </w:pPr>
            <w:r>
              <w:rPr>
                <w:rFonts w:hint="eastAsia" w:ascii="仿宋" w:hAnsi="仿宋" w:eastAsia="仿宋" w:cs="仿宋"/>
              </w:rPr>
              <w:t>9</w:t>
            </w:r>
          </w:p>
        </w:tc>
        <w:tc>
          <w:tcPr>
            <w:tcW w:w="1969" w:type="dxa"/>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仿宋" w:hAnsi="仿宋" w:eastAsia="仿宋" w:cs="仿宋"/>
              </w:rPr>
            </w:pPr>
            <w:r>
              <w:rPr>
                <w:rFonts w:hint="eastAsia" w:ascii="仿宋" w:hAnsi="仿宋" w:eastAsia="仿宋" w:cs="仿宋"/>
              </w:rPr>
              <w:t>法律、行政法规规定的其他条件</w:t>
            </w:r>
          </w:p>
        </w:tc>
        <w:tc>
          <w:tcPr>
            <w:tcW w:w="5604" w:type="dxa"/>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仿宋" w:hAnsi="仿宋" w:eastAsia="仿宋" w:cs="仿宋"/>
              </w:rPr>
            </w:pPr>
            <w:r>
              <w:rPr>
                <w:rFonts w:hint="eastAsia" w:ascii="仿宋" w:hAnsi="仿宋" w:eastAsia="仿宋" w:cs="仿宋"/>
              </w:rPr>
              <w:t>采购人对法律、行政法规规定的其他条件无其他特殊要求，投标人可不提供证明材料。 【说明：投标人无须提供证明材料，上传空白页即可，不对本项上传的材料作资格审查】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97" w:hRule="atLeast"/>
          <w:jc w:val="center"/>
        </w:trPr>
        <w:tc>
          <w:tcPr>
            <w:tcW w:w="717" w:type="dxa"/>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仿宋" w:hAnsi="仿宋" w:eastAsia="仿宋" w:cs="仿宋"/>
              </w:rPr>
            </w:pPr>
            <w:r>
              <w:rPr>
                <w:rFonts w:hint="eastAsia" w:ascii="仿宋" w:hAnsi="仿宋" w:eastAsia="仿宋" w:cs="仿宋"/>
              </w:rPr>
              <w:t>10</w:t>
            </w:r>
          </w:p>
        </w:tc>
        <w:tc>
          <w:tcPr>
            <w:tcW w:w="1969" w:type="dxa"/>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仿宋" w:hAnsi="仿宋" w:eastAsia="仿宋" w:cs="仿宋"/>
              </w:rPr>
            </w:pPr>
            <w:r>
              <w:rPr>
                <w:rFonts w:hint="eastAsia" w:ascii="仿宋" w:hAnsi="仿宋" w:eastAsia="仿宋" w:cs="仿宋"/>
              </w:rPr>
              <w:t>不属于国家相关法律法规规定的其他禁止参加投标的情形</w:t>
            </w:r>
          </w:p>
        </w:tc>
        <w:tc>
          <w:tcPr>
            <w:tcW w:w="5604" w:type="dxa"/>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仿宋" w:hAnsi="仿宋" w:eastAsia="仿宋" w:cs="仿宋"/>
              </w:rPr>
            </w:pPr>
            <w:r>
              <w:rPr>
                <w:rFonts w:hint="eastAsia" w:ascii="仿宋" w:hAnsi="仿宋" w:eastAsia="仿宋" w:cs="仿宋"/>
              </w:rPr>
              <w:t>1.根据招标文件的要求不属于禁止参加投标或投标无效的供应商；</w:t>
            </w:r>
          </w:p>
          <w:p>
            <w:pPr>
              <w:rPr>
                <w:rFonts w:hint="eastAsia" w:ascii="仿宋" w:hAnsi="仿宋" w:eastAsia="仿宋" w:cs="仿宋"/>
              </w:rPr>
            </w:pPr>
            <w:r>
              <w:rPr>
                <w:rFonts w:hint="eastAsia" w:ascii="仿宋" w:hAnsi="仿宋" w:eastAsia="仿宋" w:cs="仿宋"/>
              </w:rPr>
              <w:t>2.资格审查小组未发现或者未知晓投标人存在属于国家相关法律法规规定的禁止参加投标或投标无效的供应商。 【说明：投标人无须提供证明材料，上传空白页即可，不对本项上传的材料作资格审查】</w:t>
            </w:r>
          </w:p>
        </w:tc>
      </w:tr>
    </w:tbl>
    <w:p>
      <w:pPr>
        <w:rPr>
          <w:rFonts w:hint="eastAsia" w:ascii="仿宋" w:hAnsi="仿宋" w:eastAsia="仿宋" w:cs="仿宋"/>
        </w:rPr>
      </w:pPr>
      <w:r>
        <w:rPr>
          <w:rFonts w:hint="eastAsia" w:ascii="仿宋" w:hAnsi="仿宋" w:eastAsia="仿宋" w:cs="仿宋"/>
        </w:rPr>
        <w:t>其他资格要求：无。</w:t>
      </w:r>
    </w:p>
    <w:p>
      <w:pPr>
        <w:spacing w:line="360" w:lineRule="auto"/>
        <w:ind w:firstLine="422" w:firstLineChars="200"/>
        <w:rPr>
          <w:rFonts w:hint="eastAsia" w:ascii="仿宋" w:hAnsi="仿宋" w:eastAsia="仿宋" w:cs="仿宋"/>
          <w:b/>
        </w:rPr>
      </w:pPr>
    </w:p>
    <w:p>
      <w:pPr>
        <w:spacing w:line="360" w:lineRule="auto"/>
        <w:ind w:firstLine="281" w:firstLineChars="100"/>
        <w:rPr>
          <w:rFonts w:hint="eastAsia" w:ascii="仿宋" w:hAnsi="仿宋" w:eastAsia="仿宋" w:cs="仿宋"/>
          <w:b/>
          <w:sz w:val="28"/>
          <w:szCs w:val="32"/>
        </w:rPr>
      </w:pPr>
      <w:r>
        <w:rPr>
          <w:rFonts w:hint="eastAsia" w:ascii="仿宋" w:hAnsi="仿宋" w:eastAsia="仿宋" w:cs="仿宋"/>
          <w:b/>
          <w:sz w:val="28"/>
          <w:szCs w:val="32"/>
        </w:rPr>
        <w:t>三、主要技术要求与标准</w:t>
      </w:r>
    </w:p>
    <w:p>
      <w:pPr>
        <w:pStyle w:val="4"/>
        <w:spacing w:before="156" w:beforeLines="50" w:after="156" w:afterLines="50"/>
        <w:ind w:firstLine="422"/>
        <w:rPr>
          <w:rFonts w:hint="eastAsia" w:ascii="仿宋" w:hAnsi="仿宋" w:eastAsia="仿宋" w:cs="仿宋"/>
          <w:b/>
          <w:lang w:val="en-US" w:eastAsia="zh-CN"/>
        </w:rPr>
      </w:pPr>
      <w:r>
        <w:rPr>
          <w:rFonts w:hint="eastAsia" w:ascii="仿宋" w:hAnsi="仿宋" w:eastAsia="仿宋" w:cs="仿宋"/>
          <w:b/>
        </w:rPr>
        <w:t>包1：食堂专用设备类</w:t>
      </w:r>
      <w:r>
        <w:rPr>
          <w:rFonts w:hint="eastAsia" w:ascii="仿宋" w:hAnsi="仿宋" w:eastAsia="仿宋" w:cs="仿宋"/>
          <w:b/>
          <w:lang w:val="en-US" w:eastAsia="zh-CN"/>
        </w:rPr>
        <w:t>拟采购清单</w:t>
      </w:r>
    </w:p>
    <w:tbl>
      <w:tblPr>
        <w:tblStyle w:val="9"/>
        <w:tblW w:w="6815" w:type="dxa"/>
        <w:jc w:val="center"/>
        <w:tblLayout w:type="fixed"/>
        <w:tblCellMar>
          <w:top w:w="0" w:type="dxa"/>
          <w:left w:w="108" w:type="dxa"/>
          <w:bottom w:w="0" w:type="dxa"/>
          <w:right w:w="108" w:type="dxa"/>
        </w:tblCellMar>
      </w:tblPr>
      <w:tblGrid>
        <w:gridCol w:w="721"/>
        <w:gridCol w:w="2410"/>
        <w:gridCol w:w="1671"/>
        <w:gridCol w:w="2013"/>
      </w:tblGrid>
      <w:tr>
        <w:tblPrEx>
          <w:tblCellMar>
            <w:top w:w="0" w:type="dxa"/>
            <w:left w:w="108" w:type="dxa"/>
            <w:bottom w:w="0" w:type="dxa"/>
            <w:right w:w="108" w:type="dxa"/>
          </w:tblCellMar>
        </w:tblPrEx>
        <w:trPr>
          <w:trHeight w:val="284" w:hRule="atLeast"/>
          <w:jc w:val="center"/>
        </w:trPr>
        <w:tc>
          <w:tcPr>
            <w:tcW w:w="721" w:type="dxa"/>
            <w:tcBorders>
              <w:top w:val="single" w:color="000000" w:sz="8" w:space="0"/>
              <w:left w:val="single" w:color="000000" w:sz="8" w:space="0"/>
              <w:bottom w:val="single" w:color="auto" w:sz="4" w:space="0"/>
              <w:right w:val="single" w:color="000000" w:sz="8" w:space="0"/>
            </w:tcBorders>
            <w:shd w:val="clear" w:color="auto" w:fill="auto"/>
            <w:vAlign w:val="center"/>
          </w:tcPr>
          <w:p>
            <w:pPr>
              <w:adjustRightInd w:val="0"/>
              <w:snapToGrid w:val="0"/>
              <w:jc w:val="center"/>
              <w:rPr>
                <w:rFonts w:hint="eastAsia" w:ascii="仿宋" w:hAnsi="仿宋" w:eastAsia="仿宋" w:cs="仿宋"/>
                <w:b/>
                <w:szCs w:val="21"/>
                <w:lang w:bidi="ar"/>
              </w:rPr>
            </w:pPr>
            <w:r>
              <w:rPr>
                <w:rFonts w:hint="eastAsia" w:ascii="仿宋" w:hAnsi="仿宋" w:eastAsia="仿宋" w:cs="仿宋"/>
                <w:b/>
                <w:szCs w:val="21"/>
                <w:lang w:bidi="ar"/>
              </w:rPr>
              <w:t>序号</w:t>
            </w:r>
          </w:p>
        </w:tc>
        <w:tc>
          <w:tcPr>
            <w:tcW w:w="2410" w:type="dxa"/>
            <w:tcBorders>
              <w:top w:val="single" w:color="000000" w:sz="8" w:space="0"/>
              <w:left w:val="single" w:color="000000" w:sz="8" w:space="0"/>
              <w:bottom w:val="single" w:color="auto" w:sz="4" w:space="0"/>
              <w:right w:val="single" w:color="000000" w:sz="8" w:space="0"/>
            </w:tcBorders>
            <w:shd w:val="clear" w:color="auto" w:fill="auto"/>
            <w:vAlign w:val="center"/>
          </w:tcPr>
          <w:p>
            <w:pPr>
              <w:adjustRightInd w:val="0"/>
              <w:snapToGrid w:val="0"/>
              <w:jc w:val="center"/>
              <w:rPr>
                <w:rFonts w:hint="eastAsia" w:ascii="仿宋" w:hAnsi="仿宋" w:eastAsia="仿宋" w:cs="仿宋"/>
                <w:b/>
                <w:szCs w:val="21"/>
                <w:lang w:bidi="ar"/>
              </w:rPr>
            </w:pPr>
            <w:r>
              <w:rPr>
                <w:rFonts w:hint="eastAsia" w:ascii="仿宋" w:hAnsi="仿宋" w:eastAsia="仿宋" w:cs="仿宋"/>
                <w:b/>
                <w:szCs w:val="21"/>
                <w:lang w:bidi="ar"/>
              </w:rPr>
              <w:t>拟采购清单</w:t>
            </w:r>
          </w:p>
        </w:tc>
        <w:tc>
          <w:tcPr>
            <w:tcW w:w="1671" w:type="dxa"/>
            <w:tcBorders>
              <w:top w:val="single" w:color="000000" w:sz="8" w:space="0"/>
              <w:left w:val="single" w:color="000000" w:sz="8" w:space="0"/>
              <w:bottom w:val="single" w:color="auto" w:sz="4" w:space="0"/>
              <w:right w:val="single" w:color="000000" w:sz="8" w:space="0"/>
            </w:tcBorders>
            <w:shd w:val="clear" w:color="auto" w:fill="auto"/>
            <w:vAlign w:val="center"/>
          </w:tcPr>
          <w:p>
            <w:pPr>
              <w:adjustRightInd w:val="0"/>
              <w:snapToGrid w:val="0"/>
              <w:jc w:val="center"/>
              <w:rPr>
                <w:rFonts w:hint="eastAsia" w:ascii="仿宋" w:hAnsi="仿宋" w:eastAsia="仿宋" w:cs="仿宋"/>
                <w:b/>
                <w:szCs w:val="21"/>
                <w:lang w:eastAsia="zh-CN" w:bidi="ar"/>
              </w:rPr>
            </w:pPr>
            <w:r>
              <w:rPr>
                <w:rFonts w:hint="eastAsia" w:ascii="仿宋" w:hAnsi="仿宋" w:eastAsia="仿宋" w:cs="仿宋"/>
                <w:b/>
                <w:szCs w:val="21"/>
                <w:lang w:bidi="ar"/>
              </w:rPr>
              <w:t>数量</w:t>
            </w:r>
          </w:p>
        </w:tc>
        <w:tc>
          <w:tcPr>
            <w:tcW w:w="2013" w:type="dxa"/>
            <w:tcBorders>
              <w:top w:val="single" w:color="000000" w:sz="8" w:space="0"/>
              <w:left w:val="single" w:color="000000" w:sz="8" w:space="0"/>
              <w:bottom w:val="single" w:color="auto" w:sz="4" w:space="0"/>
              <w:right w:val="single" w:color="000000" w:sz="8" w:space="0"/>
            </w:tcBorders>
            <w:shd w:val="clear" w:color="auto" w:fill="auto"/>
            <w:vAlign w:val="center"/>
          </w:tcPr>
          <w:p>
            <w:pPr>
              <w:adjustRightInd w:val="0"/>
              <w:snapToGrid w:val="0"/>
              <w:jc w:val="center"/>
              <w:rPr>
                <w:rFonts w:hint="eastAsia" w:ascii="仿宋" w:hAnsi="仿宋" w:eastAsia="仿宋" w:cs="仿宋"/>
                <w:b/>
                <w:szCs w:val="21"/>
                <w:lang w:bidi="ar"/>
              </w:rPr>
            </w:pPr>
            <w:r>
              <w:rPr>
                <w:rFonts w:hint="eastAsia" w:ascii="仿宋" w:hAnsi="仿宋" w:eastAsia="仿宋" w:cs="仿宋"/>
                <w:b/>
                <w:szCs w:val="21"/>
                <w:lang w:eastAsia="zh-CN" w:bidi="ar"/>
              </w:rPr>
              <w:t>单位</w:t>
            </w:r>
          </w:p>
        </w:tc>
      </w:tr>
      <w:tr>
        <w:tblPrEx>
          <w:tblCellMar>
            <w:top w:w="0" w:type="dxa"/>
            <w:left w:w="108" w:type="dxa"/>
            <w:bottom w:w="0" w:type="dxa"/>
            <w:right w:w="108" w:type="dxa"/>
          </w:tblCellMar>
        </w:tblPrEx>
        <w:trPr>
          <w:trHeight w:val="284" w:hRule="atLeast"/>
          <w:jc w:val="center"/>
        </w:trPr>
        <w:tc>
          <w:tcPr>
            <w:tcW w:w="721" w:type="dxa"/>
            <w:tcBorders>
              <w:top w:val="single" w:color="000000" w:sz="8" w:space="0"/>
              <w:left w:val="single" w:color="000000" w:sz="8" w:space="0"/>
              <w:bottom w:val="single" w:color="auto" w:sz="4" w:space="0"/>
              <w:right w:val="single" w:color="000000" w:sz="8" w:space="0"/>
            </w:tcBorders>
            <w:shd w:val="clear" w:color="auto" w:fill="auto"/>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1</w:t>
            </w:r>
          </w:p>
        </w:tc>
        <w:tc>
          <w:tcPr>
            <w:tcW w:w="2410" w:type="dxa"/>
            <w:tcBorders>
              <w:top w:val="single" w:color="000000" w:sz="8" w:space="0"/>
              <w:left w:val="single" w:color="000000" w:sz="8" w:space="0"/>
              <w:bottom w:val="single" w:color="auto" w:sz="4" w:space="0"/>
              <w:right w:val="single" w:color="000000" w:sz="8" w:space="0"/>
            </w:tcBorders>
            <w:shd w:val="clear" w:color="auto" w:fill="auto"/>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六门冰箱</w:t>
            </w:r>
          </w:p>
        </w:tc>
        <w:tc>
          <w:tcPr>
            <w:tcW w:w="1671" w:type="dxa"/>
            <w:tcBorders>
              <w:top w:val="single" w:color="000000" w:sz="8" w:space="0"/>
              <w:left w:val="single" w:color="000000" w:sz="8" w:space="0"/>
              <w:bottom w:val="single" w:color="auto" w:sz="4" w:space="0"/>
              <w:right w:val="single" w:color="000000" w:sz="8" w:space="0"/>
            </w:tcBorders>
            <w:shd w:val="clear" w:color="auto" w:fill="auto"/>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6</w:t>
            </w:r>
          </w:p>
        </w:tc>
        <w:tc>
          <w:tcPr>
            <w:tcW w:w="2013" w:type="dxa"/>
            <w:tcBorders>
              <w:top w:val="single" w:color="000000" w:sz="8" w:space="0"/>
              <w:left w:val="single" w:color="000000" w:sz="8" w:space="0"/>
              <w:bottom w:val="single" w:color="auto" w:sz="4" w:space="0"/>
              <w:right w:val="single" w:color="000000" w:sz="8" w:space="0"/>
            </w:tcBorders>
            <w:shd w:val="clear" w:color="auto" w:fill="auto"/>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台</w:t>
            </w:r>
          </w:p>
        </w:tc>
      </w:tr>
      <w:tr>
        <w:tblPrEx>
          <w:tblCellMar>
            <w:top w:w="0" w:type="dxa"/>
            <w:left w:w="108" w:type="dxa"/>
            <w:bottom w:w="0" w:type="dxa"/>
            <w:right w:w="108" w:type="dxa"/>
          </w:tblCellMar>
        </w:tblPrEx>
        <w:trPr>
          <w:trHeight w:val="284" w:hRule="atLeast"/>
          <w:jc w:val="center"/>
        </w:trPr>
        <w:tc>
          <w:tcPr>
            <w:tcW w:w="721" w:type="dxa"/>
            <w:tcBorders>
              <w:top w:val="single" w:color="000000" w:sz="8" w:space="0"/>
              <w:left w:val="single" w:color="000000" w:sz="8" w:space="0"/>
              <w:bottom w:val="single" w:color="auto" w:sz="4" w:space="0"/>
              <w:right w:val="single" w:color="000000" w:sz="8" w:space="0"/>
            </w:tcBorders>
            <w:shd w:val="clear" w:color="auto" w:fill="auto"/>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2</w:t>
            </w:r>
          </w:p>
        </w:tc>
        <w:tc>
          <w:tcPr>
            <w:tcW w:w="2410" w:type="dxa"/>
            <w:tcBorders>
              <w:top w:val="single" w:color="000000" w:sz="8" w:space="0"/>
              <w:left w:val="single" w:color="000000" w:sz="8" w:space="0"/>
              <w:bottom w:val="single" w:color="auto" w:sz="4" w:space="0"/>
              <w:right w:val="single" w:color="000000" w:sz="8" w:space="0"/>
            </w:tcBorders>
            <w:shd w:val="clear" w:color="auto" w:fill="auto"/>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燃气单头小炒炉</w:t>
            </w:r>
          </w:p>
        </w:tc>
        <w:tc>
          <w:tcPr>
            <w:tcW w:w="1671" w:type="dxa"/>
            <w:tcBorders>
              <w:top w:val="single" w:color="000000" w:sz="8" w:space="0"/>
              <w:left w:val="single" w:color="000000" w:sz="8" w:space="0"/>
              <w:bottom w:val="single" w:color="auto" w:sz="4" w:space="0"/>
              <w:right w:val="single" w:color="000000" w:sz="8" w:space="0"/>
            </w:tcBorders>
            <w:shd w:val="clear" w:color="auto" w:fill="auto"/>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3</w:t>
            </w:r>
          </w:p>
        </w:tc>
        <w:tc>
          <w:tcPr>
            <w:tcW w:w="2013" w:type="dxa"/>
            <w:tcBorders>
              <w:top w:val="single" w:color="000000" w:sz="8" w:space="0"/>
              <w:left w:val="single" w:color="000000" w:sz="8" w:space="0"/>
              <w:bottom w:val="single" w:color="auto" w:sz="4" w:space="0"/>
              <w:right w:val="single" w:color="000000" w:sz="8" w:space="0"/>
            </w:tcBorders>
            <w:shd w:val="clear" w:color="auto" w:fill="auto"/>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台</w:t>
            </w:r>
          </w:p>
        </w:tc>
      </w:tr>
      <w:tr>
        <w:tblPrEx>
          <w:tblCellMar>
            <w:top w:w="0" w:type="dxa"/>
            <w:left w:w="108" w:type="dxa"/>
            <w:bottom w:w="0" w:type="dxa"/>
            <w:right w:w="108" w:type="dxa"/>
          </w:tblCellMar>
        </w:tblPrEx>
        <w:trPr>
          <w:trHeight w:val="284" w:hRule="atLeast"/>
          <w:jc w:val="center"/>
        </w:trPr>
        <w:tc>
          <w:tcPr>
            <w:tcW w:w="721" w:type="dxa"/>
            <w:tcBorders>
              <w:top w:val="single" w:color="000000" w:sz="8" w:space="0"/>
              <w:left w:val="single" w:color="000000" w:sz="8" w:space="0"/>
              <w:bottom w:val="single" w:color="auto" w:sz="4" w:space="0"/>
              <w:right w:val="single" w:color="000000" w:sz="8" w:space="0"/>
            </w:tcBorders>
            <w:shd w:val="clear" w:color="auto" w:fill="auto"/>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3</w:t>
            </w:r>
          </w:p>
        </w:tc>
        <w:tc>
          <w:tcPr>
            <w:tcW w:w="2410" w:type="dxa"/>
            <w:tcBorders>
              <w:top w:val="single" w:color="000000" w:sz="8" w:space="0"/>
              <w:left w:val="single" w:color="000000" w:sz="8" w:space="0"/>
              <w:bottom w:val="single" w:color="auto" w:sz="4" w:space="0"/>
              <w:right w:val="single" w:color="000000" w:sz="8" w:space="0"/>
            </w:tcBorders>
            <w:shd w:val="clear" w:color="auto" w:fill="auto"/>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中餐燃气炒菜灶</w:t>
            </w:r>
          </w:p>
        </w:tc>
        <w:tc>
          <w:tcPr>
            <w:tcW w:w="1671" w:type="dxa"/>
            <w:tcBorders>
              <w:top w:val="single" w:color="000000" w:sz="8" w:space="0"/>
              <w:left w:val="single" w:color="000000" w:sz="8" w:space="0"/>
              <w:bottom w:val="single" w:color="auto" w:sz="4" w:space="0"/>
              <w:right w:val="single" w:color="000000" w:sz="8" w:space="0"/>
            </w:tcBorders>
            <w:shd w:val="clear" w:color="auto" w:fill="auto"/>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3</w:t>
            </w:r>
          </w:p>
        </w:tc>
        <w:tc>
          <w:tcPr>
            <w:tcW w:w="2013" w:type="dxa"/>
            <w:tcBorders>
              <w:top w:val="single" w:color="000000" w:sz="8" w:space="0"/>
              <w:left w:val="single" w:color="000000" w:sz="8" w:space="0"/>
              <w:bottom w:val="single" w:color="auto" w:sz="4" w:space="0"/>
              <w:right w:val="single" w:color="000000" w:sz="8" w:space="0"/>
            </w:tcBorders>
            <w:shd w:val="clear" w:color="auto" w:fill="auto"/>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台</w:t>
            </w:r>
          </w:p>
        </w:tc>
      </w:tr>
      <w:tr>
        <w:tblPrEx>
          <w:tblCellMar>
            <w:top w:w="0" w:type="dxa"/>
            <w:left w:w="108" w:type="dxa"/>
            <w:bottom w:w="0" w:type="dxa"/>
            <w:right w:w="108" w:type="dxa"/>
          </w:tblCellMar>
        </w:tblPrEx>
        <w:trPr>
          <w:trHeight w:val="284" w:hRule="atLeast"/>
          <w:jc w:val="center"/>
        </w:trPr>
        <w:tc>
          <w:tcPr>
            <w:tcW w:w="721" w:type="dxa"/>
            <w:tcBorders>
              <w:top w:val="single" w:color="000000" w:sz="8" w:space="0"/>
              <w:left w:val="single" w:color="000000" w:sz="8" w:space="0"/>
              <w:bottom w:val="single" w:color="auto" w:sz="4" w:space="0"/>
              <w:right w:val="single" w:color="000000" w:sz="8" w:space="0"/>
            </w:tcBorders>
            <w:shd w:val="clear" w:color="auto" w:fill="auto"/>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4</w:t>
            </w:r>
          </w:p>
        </w:tc>
        <w:tc>
          <w:tcPr>
            <w:tcW w:w="2410" w:type="dxa"/>
            <w:tcBorders>
              <w:top w:val="single" w:color="000000" w:sz="8" w:space="0"/>
              <w:left w:val="single" w:color="000000" w:sz="8" w:space="0"/>
              <w:bottom w:val="single" w:color="auto" w:sz="4" w:space="0"/>
              <w:right w:val="single" w:color="000000" w:sz="8" w:space="0"/>
            </w:tcBorders>
            <w:shd w:val="clear" w:color="auto" w:fill="auto"/>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单眼吊汤燃气灶</w:t>
            </w:r>
          </w:p>
        </w:tc>
        <w:tc>
          <w:tcPr>
            <w:tcW w:w="1671" w:type="dxa"/>
            <w:tcBorders>
              <w:top w:val="single" w:color="000000" w:sz="8" w:space="0"/>
              <w:left w:val="single" w:color="000000" w:sz="8" w:space="0"/>
              <w:bottom w:val="single" w:color="auto" w:sz="4" w:space="0"/>
              <w:right w:val="single" w:color="000000" w:sz="8" w:space="0"/>
            </w:tcBorders>
            <w:shd w:val="clear" w:color="auto" w:fill="auto"/>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1</w:t>
            </w:r>
          </w:p>
        </w:tc>
        <w:tc>
          <w:tcPr>
            <w:tcW w:w="2013" w:type="dxa"/>
            <w:tcBorders>
              <w:top w:val="single" w:color="000000" w:sz="8" w:space="0"/>
              <w:left w:val="single" w:color="000000" w:sz="8" w:space="0"/>
              <w:bottom w:val="single" w:color="auto" w:sz="4" w:space="0"/>
              <w:right w:val="single" w:color="000000" w:sz="8" w:space="0"/>
            </w:tcBorders>
            <w:shd w:val="clear" w:color="auto" w:fill="auto"/>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台</w:t>
            </w:r>
          </w:p>
        </w:tc>
      </w:tr>
      <w:tr>
        <w:tblPrEx>
          <w:tblCellMar>
            <w:top w:w="0" w:type="dxa"/>
            <w:left w:w="108" w:type="dxa"/>
            <w:bottom w:w="0" w:type="dxa"/>
            <w:right w:w="108" w:type="dxa"/>
          </w:tblCellMar>
        </w:tblPrEx>
        <w:trPr>
          <w:trHeight w:val="284" w:hRule="atLeast"/>
          <w:jc w:val="center"/>
        </w:trPr>
        <w:tc>
          <w:tcPr>
            <w:tcW w:w="721" w:type="dxa"/>
            <w:tcBorders>
              <w:top w:val="single" w:color="000000" w:sz="8" w:space="0"/>
              <w:left w:val="single" w:color="000000" w:sz="8" w:space="0"/>
              <w:bottom w:val="single" w:color="auto" w:sz="4" w:space="0"/>
              <w:right w:val="single" w:color="000000" w:sz="8" w:space="0"/>
            </w:tcBorders>
            <w:shd w:val="clear" w:color="auto" w:fill="auto"/>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5</w:t>
            </w:r>
          </w:p>
        </w:tc>
        <w:tc>
          <w:tcPr>
            <w:tcW w:w="2410" w:type="dxa"/>
            <w:tcBorders>
              <w:top w:val="single" w:color="000000" w:sz="8" w:space="0"/>
              <w:left w:val="single" w:color="000000" w:sz="8" w:space="0"/>
              <w:bottom w:val="single" w:color="auto" w:sz="4" w:space="0"/>
              <w:right w:val="single" w:color="000000" w:sz="8" w:space="0"/>
            </w:tcBorders>
            <w:shd w:val="clear" w:color="auto" w:fill="auto"/>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单头燃气大锅灶</w:t>
            </w:r>
          </w:p>
        </w:tc>
        <w:tc>
          <w:tcPr>
            <w:tcW w:w="1671" w:type="dxa"/>
            <w:tcBorders>
              <w:top w:val="single" w:color="000000" w:sz="8" w:space="0"/>
              <w:left w:val="single" w:color="000000" w:sz="8" w:space="0"/>
              <w:bottom w:val="single" w:color="auto" w:sz="4" w:space="0"/>
              <w:right w:val="single" w:color="000000" w:sz="8" w:space="0"/>
            </w:tcBorders>
            <w:shd w:val="clear" w:color="auto" w:fill="auto"/>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2</w:t>
            </w:r>
          </w:p>
        </w:tc>
        <w:tc>
          <w:tcPr>
            <w:tcW w:w="2013" w:type="dxa"/>
            <w:tcBorders>
              <w:top w:val="single" w:color="000000" w:sz="8" w:space="0"/>
              <w:left w:val="single" w:color="000000" w:sz="8" w:space="0"/>
              <w:bottom w:val="single" w:color="auto" w:sz="4" w:space="0"/>
              <w:right w:val="single" w:color="000000" w:sz="8" w:space="0"/>
            </w:tcBorders>
            <w:shd w:val="clear" w:color="auto" w:fill="auto"/>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台</w:t>
            </w:r>
          </w:p>
        </w:tc>
      </w:tr>
      <w:tr>
        <w:tblPrEx>
          <w:tblCellMar>
            <w:top w:w="0" w:type="dxa"/>
            <w:left w:w="108" w:type="dxa"/>
            <w:bottom w:w="0" w:type="dxa"/>
            <w:right w:w="108" w:type="dxa"/>
          </w:tblCellMar>
        </w:tblPrEx>
        <w:trPr>
          <w:trHeight w:val="284" w:hRule="atLeast"/>
          <w:jc w:val="center"/>
        </w:trPr>
        <w:tc>
          <w:tcPr>
            <w:tcW w:w="721" w:type="dxa"/>
            <w:tcBorders>
              <w:top w:val="single" w:color="000000" w:sz="8" w:space="0"/>
              <w:left w:val="single" w:color="000000" w:sz="8" w:space="0"/>
              <w:bottom w:val="single" w:color="auto" w:sz="4" w:space="0"/>
              <w:right w:val="single" w:color="000000" w:sz="8" w:space="0"/>
            </w:tcBorders>
            <w:shd w:val="clear" w:color="auto" w:fill="auto"/>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6</w:t>
            </w:r>
          </w:p>
        </w:tc>
        <w:tc>
          <w:tcPr>
            <w:tcW w:w="2410" w:type="dxa"/>
            <w:tcBorders>
              <w:top w:val="single" w:color="000000" w:sz="8" w:space="0"/>
              <w:left w:val="single" w:color="000000" w:sz="8" w:space="0"/>
              <w:bottom w:val="single" w:color="auto" w:sz="4" w:space="0"/>
              <w:right w:val="single" w:color="000000" w:sz="8" w:space="0"/>
            </w:tcBorders>
            <w:shd w:val="clear" w:color="auto" w:fill="auto"/>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热风循环消毒柜</w:t>
            </w:r>
          </w:p>
        </w:tc>
        <w:tc>
          <w:tcPr>
            <w:tcW w:w="1671" w:type="dxa"/>
            <w:tcBorders>
              <w:top w:val="single" w:color="000000" w:sz="8" w:space="0"/>
              <w:left w:val="single" w:color="000000" w:sz="8" w:space="0"/>
              <w:bottom w:val="single" w:color="auto" w:sz="4" w:space="0"/>
              <w:right w:val="single" w:color="000000" w:sz="8" w:space="0"/>
            </w:tcBorders>
            <w:shd w:val="clear" w:color="auto" w:fill="auto"/>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1</w:t>
            </w:r>
          </w:p>
        </w:tc>
        <w:tc>
          <w:tcPr>
            <w:tcW w:w="2013" w:type="dxa"/>
            <w:tcBorders>
              <w:top w:val="single" w:color="000000" w:sz="8" w:space="0"/>
              <w:left w:val="single" w:color="000000" w:sz="8" w:space="0"/>
              <w:bottom w:val="single" w:color="auto" w:sz="4" w:space="0"/>
              <w:right w:val="single" w:color="000000" w:sz="8" w:space="0"/>
            </w:tcBorders>
            <w:shd w:val="clear" w:color="auto" w:fill="auto"/>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台</w:t>
            </w:r>
          </w:p>
        </w:tc>
      </w:tr>
      <w:tr>
        <w:tblPrEx>
          <w:tblCellMar>
            <w:top w:w="0" w:type="dxa"/>
            <w:left w:w="108" w:type="dxa"/>
            <w:bottom w:w="0" w:type="dxa"/>
            <w:right w:w="108" w:type="dxa"/>
          </w:tblCellMar>
        </w:tblPrEx>
        <w:trPr>
          <w:trHeight w:val="284" w:hRule="atLeast"/>
          <w:jc w:val="center"/>
        </w:trPr>
        <w:tc>
          <w:tcPr>
            <w:tcW w:w="721" w:type="dxa"/>
            <w:tcBorders>
              <w:top w:val="single" w:color="000000" w:sz="8" w:space="0"/>
              <w:left w:val="single" w:color="000000" w:sz="8" w:space="0"/>
              <w:bottom w:val="single" w:color="auto" w:sz="4" w:space="0"/>
              <w:right w:val="single" w:color="000000" w:sz="8" w:space="0"/>
            </w:tcBorders>
            <w:shd w:val="clear" w:color="auto" w:fill="auto"/>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7</w:t>
            </w:r>
          </w:p>
        </w:tc>
        <w:tc>
          <w:tcPr>
            <w:tcW w:w="2410" w:type="dxa"/>
            <w:tcBorders>
              <w:top w:val="single" w:color="000000" w:sz="8" w:space="0"/>
              <w:left w:val="single" w:color="000000" w:sz="8" w:space="0"/>
              <w:bottom w:val="single" w:color="auto" w:sz="4" w:space="0"/>
              <w:right w:val="single" w:color="000000" w:sz="8" w:space="0"/>
            </w:tcBorders>
            <w:shd w:val="clear" w:color="auto" w:fill="auto"/>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刀具消毒柜</w:t>
            </w:r>
          </w:p>
        </w:tc>
        <w:tc>
          <w:tcPr>
            <w:tcW w:w="1671" w:type="dxa"/>
            <w:tcBorders>
              <w:top w:val="single" w:color="000000" w:sz="8" w:space="0"/>
              <w:left w:val="single" w:color="000000" w:sz="8" w:space="0"/>
              <w:bottom w:val="single" w:color="auto" w:sz="4" w:space="0"/>
              <w:right w:val="single" w:color="000000" w:sz="8" w:space="0"/>
            </w:tcBorders>
            <w:shd w:val="clear" w:color="auto" w:fill="auto"/>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1</w:t>
            </w:r>
          </w:p>
        </w:tc>
        <w:tc>
          <w:tcPr>
            <w:tcW w:w="2013" w:type="dxa"/>
            <w:tcBorders>
              <w:top w:val="single" w:color="000000" w:sz="8" w:space="0"/>
              <w:left w:val="single" w:color="000000" w:sz="8" w:space="0"/>
              <w:bottom w:val="single" w:color="auto" w:sz="4" w:space="0"/>
              <w:right w:val="single" w:color="000000" w:sz="8" w:space="0"/>
            </w:tcBorders>
            <w:shd w:val="clear" w:color="auto" w:fill="auto"/>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台</w:t>
            </w:r>
          </w:p>
        </w:tc>
      </w:tr>
      <w:tr>
        <w:tblPrEx>
          <w:tblCellMar>
            <w:top w:w="0" w:type="dxa"/>
            <w:left w:w="108" w:type="dxa"/>
            <w:bottom w:w="0" w:type="dxa"/>
            <w:right w:w="108" w:type="dxa"/>
          </w:tblCellMar>
        </w:tblPrEx>
        <w:trPr>
          <w:trHeight w:val="284" w:hRule="atLeast"/>
          <w:jc w:val="center"/>
        </w:trPr>
        <w:tc>
          <w:tcPr>
            <w:tcW w:w="721" w:type="dxa"/>
            <w:tcBorders>
              <w:top w:val="single" w:color="000000" w:sz="8" w:space="0"/>
              <w:left w:val="single" w:color="000000" w:sz="8" w:space="0"/>
              <w:bottom w:val="single" w:color="auto" w:sz="4" w:space="0"/>
              <w:right w:val="single" w:color="000000" w:sz="8" w:space="0"/>
            </w:tcBorders>
            <w:shd w:val="clear" w:color="auto" w:fill="auto"/>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8</w:t>
            </w:r>
          </w:p>
        </w:tc>
        <w:tc>
          <w:tcPr>
            <w:tcW w:w="2410" w:type="dxa"/>
            <w:tcBorders>
              <w:top w:val="single" w:color="000000" w:sz="8" w:space="0"/>
              <w:left w:val="single" w:color="000000" w:sz="8" w:space="0"/>
              <w:bottom w:val="single" w:color="auto" w:sz="4" w:space="0"/>
              <w:right w:val="single" w:color="000000" w:sz="8" w:space="0"/>
            </w:tcBorders>
            <w:shd w:val="clear" w:color="auto" w:fill="auto"/>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双门燃气蒸饭柜</w:t>
            </w:r>
          </w:p>
        </w:tc>
        <w:tc>
          <w:tcPr>
            <w:tcW w:w="1671" w:type="dxa"/>
            <w:tcBorders>
              <w:top w:val="single" w:color="000000" w:sz="8" w:space="0"/>
              <w:left w:val="single" w:color="000000" w:sz="8" w:space="0"/>
              <w:bottom w:val="single" w:color="auto" w:sz="4" w:space="0"/>
              <w:right w:val="single" w:color="000000" w:sz="8" w:space="0"/>
            </w:tcBorders>
            <w:shd w:val="clear" w:color="auto" w:fill="auto"/>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2</w:t>
            </w:r>
          </w:p>
        </w:tc>
        <w:tc>
          <w:tcPr>
            <w:tcW w:w="2013" w:type="dxa"/>
            <w:tcBorders>
              <w:top w:val="single" w:color="000000" w:sz="8" w:space="0"/>
              <w:left w:val="single" w:color="000000" w:sz="8" w:space="0"/>
              <w:bottom w:val="single" w:color="auto" w:sz="4" w:space="0"/>
              <w:right w:val="single" w:color="000000" w:sz="8" w:space="0"/>
            </w:tcBorders>
            <w:shd w:val="clear" w:color="auto" w:fill="auto"/>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台</w:t>
            </w:r>
          </w:p>
        </w:tc>
      </w:tr>
      <w:tr>
        <w:tblPrEx>
          <w:tblCellMar>
            <w:top w:w="0" w:type="dxa"/>
            <w:left w:w="108" w:type="dxa"/>
            <w:bottom w:w="0" w:type="dxa"/>
            <w:right w:w="108" w:type="dxa"/>
          </w:tblCellMar>
        </w:tblPrEx>
        <w:trPr>
          <w:trHeight w:val="284" w:hRule="atLeast"/>
          <w:jc w:val="center"/>
        </w:trPr>
        <w:tc>
          <w:tcPr>
            <w:tcW w:w="721" w:type="dxa"/>
            <w:tcBorders>
              <w:top w:val="single" w:color="000000" w:sz="8" w:space="0"/>
              <w:left w:val="single" w:color="000000" w:sz="8" w:space="0"/>
              <w:bottom w:val="single" w:color="auto" w:sz="4" w:space="0"/>
              <w:right w:val="single" w:color="000000" w:sz="8" w:space="0"/>
            </w:tcBorders>
            <w:shd w:val="clear" w:color="auto" w:fill="auto"/>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9</w:t>
            </w:r>
          </w:p>
        </w:tc>
        <w:tc>
          <w:tcPr>
            <w:tcW w:w="2410" w:type="dxa"/>
            <w:tcBorders>
              <w:top w:val="single" w:color="000000" w:sz="8" w:space="0"/>
              <w:left w:val="single" w:color="000000" w:sz="8" w:space="0"/>
              <w:bottom w:val="single" w:color="auto" w:sz="4" w:space="0"/>
              <w:right w:val="single" w:color="000000" w:sz="8" w:space="0"/>
            </w:tcBorders>
            <w:shd w:val="clear" w:color="auto" w:fill="auto"/>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三网双刀绞肉机</w:t>
            </w:r>
          </w:p>
        </w:tc>
        <w:tc>
          <w:tcPr>
            <w:tcW w:w="1671" w:type="dxa"/>
            <w:tcBorders>
              <w:top w:val="single" w:color="000000" w:sz="8" w:space="0"/>
              <w:left w:val="single" w:color="000000" w:sz="8" w:space="0"/>
              <w:bottom w:val="single" w:color="auto" w:sz="4" w:space="0"/>
              <w:right w:val="single" w:color="000000" w:sz="8" w:space="0"/>
            </w:tcBorders>
            <w:shd w:val="clear" w:color="auto" w:fill="auto"/>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1</w:t>
            </w:r>
          </w:p>
        </w:tc>
        <w:tc>
          <w:tcPr>
            <w:tcW w:w="2013" w:type="dxa"/>
            <w:tcBorders>
              <w:top w:val="single" w:color="000000" w:sz="8" w:space="0"/>
              <w:left w:val="single" w:color="000000" w:sz="8" w:space="0"/>
              <w:bottom w:val="single" w:color="auto" w:sz="4" w:space="0"/>
              <w:right w:val="single" w:color="000000" w:sz="8" w:space="0"/>
            </w:tcBorders>
            <w:shd w:val="clear" w:color="auto" w:fill="auto"/>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台</w:t>
            </w:r>
          </w:p>
        </w:tc>
      </w:tr>
      <w:tr>
        <w:tblPrEx>
          <w:tblCellMar>
            <w:top w:w="0" w:type="dxa"/>
            <w:left w:w="108" w:type="dxa"/>
            <w:bottom w:w="0" w:type="dxa"/>
            <w:right w:w="108" w:type="dxa"/>
          </w:tblCellMar>
        </w:tblPrEx>
        <w:trPr>
          <w:trHeight w:val="284" w:hRule="atLeast"/>
          <w:jc w:val="center"/>
        </w:trPr>
        <w:tc>
          <w:tcPr>
            <w:tcW w:w="721" w:type="dxa"/>
            <w:tcBorders>
              <w:top w:val="single" w:color="000000" w:sz="8" w:space="0"/>
              <w:left w:val="single" w:color="000000" w:sz="8" w:space="0"/>
              <w:bottom w:val="single" w:color="auto" w:sz="4" w:space="0"/>
              <w:right w:val="single" w:color="000000" w:sz="8" w:space="0"/>
            </w:tcBorders>
            <w:shd w:val="clear" w:color="auto" w:fill="auto"/>
            <w:vAlign w:val="center"/>
          </w:tcPr>
          <w:p>
            <w:pPr>
              <w:adjustRightInd w:val="0"/>
              <w:snapToGrid w:val="0"/>
              <w:jc w:val="center"/>
              <w:rPr>
                <w:rStyle w:val="13"/>
                <w:rFonts w:hint="default"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10</w:t>
            </w:r>
          </w:p>
        </w:tc>
        <w:tc>
          <w:tcPr>
            <w:tcW w:w="2410" w:type="dxa"/>
            <w:tcBorders>
              <w:top w:val="single" w:color="000000" w:sz="8" w:space="0"/>
              <w:left w:val="single" w:color="000000" w:sz="8" w:space="0"/>
              <w:bottom w:val="single" w:color="auto" w:sz="4" w:space="0"/>
              <w:right w:val="single" w:color="000000" w:sz="8" w:space="0"/>
            </w:tcBorders>
            <w:shd w:val="clear" w:color="auto" w:fill="auto"/>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双门立式保鲜柜</w:t>
            </w:r>
          </w:p>
        </w:tc>
        <w:tc>
          <w:tcPr>
            <w:tcW w:w="1671" w:type="dxa"/>
            <w:tcBorders>
              <w:top w:val="single" w:color="000000" w:sz="8" w:space="0"/>
              <w:left w:val="single" w:color="000000" w:sz="8" w:space="0"/>
              <w:bottom w:val="single" w:color="auto" w:sz="4" w:space="0"/>
              <w:right w:val="single" w:color="000000" w:sz="8" w:space="0"/>
            </w:tcBorders>
            <w:shd w:val="clear" w:color="auto" w:fill="auto"/>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2</w:t>
            </w:r>
          </w:p>
        </w:tc>
        <w:tc>
          <w:tcPr>
            <w:tcW w:w="2013" w:type="dxa"/>
            <w:tcBorders>
              <w:top w:val="single" w:color="000000" w:sz="8" w:space="0"/>
              <w:left w:val="single" w:color="000000" w:sz="8" w:space="0"/>
              <w:bottom w:val="single" w:color="auto" w:sz="4" w:space="0"/>
              <w:right w:val="single" w:color="000000" w:sz="8" w:space="0"/>
            </w:tcBorders>
            <w:shd w:val="clear" w:color="auto" w:fill="auto"/>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台</w:t>
            </w:r>
          </w:p>
        </w:tc>
      </w:tr>
      <w:tr>
        <w:tblPrEx>
          <w:tblCellMar>
            <w:top w:w="0" w:type="dxa"/>
            <w:left w:w="108" w:type="dxa"/>
            <w:bottom w:w="0" w:type="dxa"/>
            <w:right w:w="108" w:type="dxa"/>
          </w:tblCellMar>
        </w:tblPrEx>
        <w:trPr>
          <w:trHeight w:val="284" w:hRule="atLeast"/>
          <w:jc w:val="center"/>
        </w:trPr>
        <w:tc>
          <w:tcPr>
            <w:tcW w:w="721" w:type="dxa"/>
            <w:tcBorders>
              <w:top w:val="single" w:color="000000" w:sz="8" w:space="0"/>
              <w:left w:val="single" w:color="000000" w:sz="8" w:space="0"/>
              <w:bottom w:val="single" w:color="auto" w:sz="4" w:space="0"/>
              <w:right w:val="single" w:color="000000" w:sz="8" w:space="0"/>
            </w:tcBorders>
            <w:shd w:val="clear" w:color="auto" w:fill="auto"/>
            <w:vAlign w:val="center"/>
          </w:tcPr>
          <w:p>
            <w:pPr>
              <w:adjustRightInd w:val="0"/>
              <w:snapToGrid w:val="0"/>
              <w:jc w:val="center"/>
              <w:rPr>
                <w:rStyle w:val="13"/>
                <w:rFonts w:hint="default"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11</w:t>
            </w:r>
          </w:p>
        </w:tc>
        <w:tc>
          <w:tcPr>
            <w:tcW w:w="2410" w:type="dxa"/>
            <w:tcBorders>
              <w:top w:val="single" w:color="000000" w:sz="8" w:space="0"/>
              <w:left w:val="single" w:color="000000" w:sz="8" w:space="0"/>
              <w:bottom w:val="single" w:color="auto" w:sz="4" w:space="0"/>
              <w:right w:val="single" w:color="000000" w:sz="8" w:space="0"/>
            </w:tcBorders>
            <w:shd w:val="clear" w:color="auto" w:fill="auto"/>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卧式冰柜</w:t>
            </w:r>
          </w:p>
        </w:tc>
        <w:tc>
          <w:tcPr>
            <w:tcW w:w="1671" w:type="dxa"/>
            <w:tcBorders>
              <w:top w:val="single" w:color="000000" w:sz="8" w:space="0"/>
              <w:left w:val="single" w:color="000000" w:sz="8" w:space="0"/>
              <w:bottom w:val="single" w:color="auto" w:sz="4" w:space="0"/>
              <w:right w:val="single" w:color="000000" w:sz="8" w:space="0"/>
            </w:tcBorders>
            <w:shd w:val="clear" w:color="auto" w:fill="auto"/>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1</w:t>
            </w:r>
          </w:p>
        </w:tc>
        <w:tc>
          <w:tcPr>
            <w:tcW w:w="2013" w:type="dxa"/>
            <w:tcBorders>
              <w:top w:val="single" w:color="000000" w:sz="8" w:space="0"/>
              <w:left w:val="single" w:color="000000" w:sz="8" w:space="0"/>
              <w:bottom w:val="single" w:color="auto" w:sz="4" w:space="0"/>
              <w:right w:val="single" w:color="000000" w:sz="8" w:space="0"/>
            </w:tcBorders>
            <w:shd w:val="clear" w:color="auto" w:fill="auto"/>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台</w:t>
            </w:r>
          </w:p>
        </w:tc>
      </w:tr>
      <w:tr>
        <w:tblPrEx>
          <w:tblCellMar>
            <w:top w:w="0" w:type="dxa"/>
            <w:left w:w="108" w:type="dxa"/>
            <w:bottom w:w="0" w:type="dxa"/>
            <w:right w:w="108" w:type="dxa"/>
          </w:tblCellMar>
        </w:tblPrEx>
        <w:trPr>
          <w:trHeight w:val="284" w:hRule="atLeast"/>
          <w:jc w:val="center"/>
        </w:trPr>
        <w:tc>
          <w:tcPr>
            <w:tcW w:w="721" w:type="dxa"/>
            <w:tcBorders>
              <w:top w:val="single" w:color="000000" w:sz="8" w:space="0"/>
              <w:left w:val="single" w:color="000000" w:sz="8" w:space="0"/>
              <w:bottom w:val="single" w:color="auto" w:sz="4" w:space="0"/>
              <w:right w:val="single" w:color="000000" w:sz="8" w:space="0"/>
            </w:tcBorders>
            <w:shd w:val="clear" w:color="auto" w:fill="auto"/>
            <w:vAlign w:val="center"/>
          </w:tcPr>
          <w:p>
            <w:pPr>
              <w:adjustRightInd w:val="0"/>
              <w:snapToGrid w:val="0"/>
              <w:jc w:val="center"/>
              <w:rPr>
                <w:rStyle w:val="13"/>
                <w:rFonts w:hint="default"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12</w:t>
            </w:r>
          </w:p>
        </w:tc>
        <w:tc>
          <w:tcPr>
            <w:tcW w:w="2410" w:type="dxa"/>
            <w:tcBorders>
              <w:top w:val="single" w:color="000000" w:sz="8" w:space="0"/>
              <w:left w:val="single" w:color="000000" w:sz="8" w:space="0"/>
              <w:bottom w:val="single" w:color="auto" w:sz="4" w:space="0"/>
              <w:right w:val="single" w:color="000000" w:sz="8" w:space="0"/>
            </w:tcBorders>
            <w:shd w:val="clear" w:color="auto" w:fill="auto"/>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制冰机</w:t>
            </w:r>
          </w:p>
        </w:tc>
        <w:tc>
          <w:tcPr>
            <w:tcW w:w="1671" w:type="dxa"/>
            <w:tcBorders>
              <w:top w:val="single" w:color="000000" w:sz="8" w:space="0"/>
              <w:left w:val="single" w:color="000000" w:sz="8" w:space="0"/>
              <w:bottom w:val="single" w:color="auto" w:sz="4" w:space="0"/>
              <w:right w:val="single" w:color="000000" w:sz="8" w:space="0"/>
            </w:tcBorders>
            <w:shd w:val="clear" w:color="auto" w:fill="auto"/>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1</w:t>
            </w:r>
          </w:p>
        </w:tc>
        <w:tc>
          <w:tcPr>
            <w:tcW w:w="2013" w:type="dxa"/>
            <w:tcBorders>
              <w:top w:val="single" w:color="000000" w:sz="8" w:space="0"/>
              <w:left w:val="single" w:color="000000" w:sz="8" w:space="0"/>
              <w:bottom w:val="single" w:color="auto" w:sz="4" w:space="0"/>
              <w:right w:val="single" w:color="000000" w:sz="8" w:space="0"/>
            </w:tcBorders>
            <w:shd w:val="clear" w:color="auto" w:fill="auto"/>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台</w:t>
            </w:r>
          </w:p>
        </w:tc>
      </w:tr>
      <w:tr>
        <w:tblPrEx>
          <w:tblCellMar>
            <w:top w:w="0" w:type="dxa"/>
            <w:left w:w="108" w:type="dxa"/>
            <w:bottom w:w="0" w:type="dxa"/>
            <w:right w:w="108" w:type="dxa"/>
          </w:tblCellMar>
        </w:tblPrEx>
        <w:trPr>
          <w:trHeight w:val="284" w:hRule="atLeast"/>
          <w:jc w:val="center"/>
        </w:trPr>
        <w:tc>
          <w:tcPr>
            <w:tcW w:w="721" w:type="dxa"/>
            <w:tcBorders>
              <w:top w:val="single" w:color="000000" w:sz="8" w:space="0"/>
              <w:left w:val="single" w:color="000000" w:sz="8" w:space="0"/>
              <w:bottom w:val="single" w:color="auto" w:sz="4" w:space="0"/>
              <w:right w:val="single" w:color="000000" w:sz="8" w:space="0"/>
            </w:tcBorders>
            <w:shd w:val="clear" w:color="auto" w:fill="auto"/>
            <w:vAlign w:val="center"/>
          </w:tcPr>
          <w:p>
            <w:pPr>
              <w:adjustRightInd w:val="0"/>
              <w:snapToGrid w:val="0"/>
              <w:jc w:val="center"/>
              <w:rPr>
                <w:rStyle w:val="13"/>
                <w:rFonts w:hint="default"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13</w:t>
            </w:r>
          </w:p>
        </w:tc>
        <w:tc>
          <w:tcPr>
            <w:tcW w:w="2410" w:type="dxa"/>
            <w:tcBorders>
              <w:top w:val="single" w:color="000000" w:sz="8" w:space="0"/>
              <w:left w:val="single" w:color="000000" w:sz="8" w:space="0"/>
              <w:bottom w:val="single" w:color="auto" w:sz="4" w:space="0"/>
              <w:right w:val="single" w:color="000000" w:sz="8" w:space="0"/>
            </w:tcBorders>
            <w:shd w:val="clear" w:color="auto" w:fill="auto"/>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电炸炉</w:t>
            </w:r>
          </w:p>
        </w:tc>
        <w:tc>
          <w:tcPr>
            <w:tcW w:w="1671" w:type="dxa"/>
            <w:tcBorders>
              <w:top w:val="single" w:color="000000" w:sz="8" w:space="0"/>
              <w:left w:val="single" w:color="000000" w:sz="8" w:space="0"/>
              <w:bottom w:val="single" w:color="auto" w:sz="4" w:space="0"/>
              <w:right w:val="single" w:color="000000" w:sz="8" w:space="0"/>
            </w:tcBorders>
            <w:shd w:val="clear" w:color="auto" w:fill="auto"/>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1</w:t>
            </w:r>
          </w:p>
        </w:tc>
        <w:tc>
          <w:tcPr>
            <w:tcW w:w="2013" w:type="dxa"/>
            <w:tcBorders>
              <w:top w:val="single" w:color="000000" w:sz="8" w:space="0"/>
              <w:left w:val="single" w:color="000000" w:sz="8" w:space="0"/>
              <w:bottom w:val="single" w:color="auto" w:sz="4" w:space="0"/>
              <w:right w:val="single" w:color="000000" w:sz="8" w:space="0"/>
            </w:tcBorders>
            <w:shd w:val="clear" w:color="auto" w:fill="auto"/>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台</w:t>
            </w:r>
          </w:p>
        </w:tc>
      </w:tr>
      <w:tr>
        <w:tblPrEx>
          <w:tblCellMar>
            <w:top w:w="0" w:type="dxa"/>
            <w:left w:w="108" w:type="dxa"/>
            <w:bottom w:w="0" w:type="dxa"/>
            <w:right w:w="108" w:type="dxa"/>
          </w:tblCellMar>
        </w:tblPrEx>
        <w:trPr>
          <w:trHeight w:val="284" w:hRule="atLeast"/>
          <w:jc w:val="center"/>
        </w:trPr>
        <w:tc>
          <w:tcPr>
            <w:tcW w:w="721" w:type="dxa"/>
            <w:tcBorders>
              <w:top w:val="single" w:color="000000" w:sz="8" w:space="0"/>
              <w:left w:val="single" w:color="000000" w:sz="8" w:space="0"/>
              <w:bottom w:val="single" w:color="auto" w:sz="4" w:space="0"/>
              <w:right w:val="single" w:color="000000" w:sz="8" w:space="0"/>
            </w:tcBorders>
            <w:shd w:val="clear" w:color="auto" w:fill="auto"/>
            <w:vAlign w:val="center"/>
          </w:tcPr>
          <w:p>
            <w:pPr>
              <w:adjustRightInd w:val="0"/>
              <w:snapToGrid w:val="0"/>
              <w:jc w:val="center"/>
              <w:rPr>
                <w:rStyle w:val="13"/>
                <w:rFonts w:hint="default"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14</w:t>
            </w:r>
          </w:p>
        </w:tc>
        <w:tc>
          <w:tcPr>
            <w:tcW w:w="2410" w:type="dxa"/>
            <w:tcBorders>
              <w:top w:val="single" w:color="000000" w:sz="8" w:space="0"/>
              <w:left w:val="single" w:color="000000" w:sz="8" w:space="0"/>
              <w:bottom w:val="single" w:color="auto" w:sz="4" w:space="0"/>
              <w:right w:val="single" w:color="000000" w:sz="8" w:space="0"/>
            </w:tcBorders>
            <w:shd w:val="clear" w:color="auto" w:fill="auto"/>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四层栅格菜架</w:t>
            </w:r>
          </w:p>
        </w:tc>
        <w:tc>
          <w:tcPr>
            <w:tcW w:w="1671" w:type="dxa"/>
            <w:tcBorders>
              <w:top w:val="single" w:color="000000" w:sz="8" w:space="0"/>
              <w:left w:val="single" w:color="000000" w:sz="8" w:space="0"/>
              <w:bottom w:val="single" w:color="auto" w:sz="4" w:space="0"/>
              <w:right w:val="single" w:color="000000" w:sz="8" w:space="0"/>
            </w:tcBorders>
            <w:shd w:val="clear" w:color="auto" w:fill="auto"/>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5</w:t>
            </w:r>
          </w:p>
        </w:tc>
        <w:tc>
          <w:tcPr>
            <w:tcW w:w="2013" w:type="dxa"/>
            <w:tcBorders>
              <w:top w:val="single" w:color="000000" w:sz="8" w:space="0"/>
              <w:left w:val="single" w:color="000000" w:sz="8" w:space="0"/>
              <w:bottom w:val="single" w:color="auto" w:sz="4" w:space="0"/>
              <w:right w:val="single" w:color="000000" w:sz="8" w:space="0"/>
            </w:tcBorders>
            <w:shd w:val="clear" w:color="auto" w:fill="auto"/>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个</w:t>
            </w:r>
          </w:p>
        </w:tc>
      </w:tr>
      <w:tr>
        <w:tblPrEx>
          <w:tblCellMar>
            <w:top w:w="0" w:type="dxa"/>
            <w:left w:w="108" w:type="dxa"/>
            <w:bottom w:w="0" w:type="dxa"/>
            <w:right w:w="108" w:type="dxa"/>
          </w:tblCellMar>
        </w:tblPrEx>
        <w:trPr>
          <w:trHeight w:val="284" w:hRule="atLeast"/>
          <w:jc w:val="center"/>
        </w:trPr>
        <w:tc>
          <w:tcPr>
            <w:tcW w:w="721" w:type="dxa"/>
            <w:tcBorders>
              <w:top w:val="single" w:color="000000" w:sz="8" w:space="0"/>
              <w:left w:val="single" w:color="000000" w:sz="8" w:space="0"/>
              <w:bottom w:val="single" w:color="auto" w:sz="4" w:space="0"/>
              <w:right w:val="single" w:color="000000" w:sz="8" w:space="0"/>
            </w:tcBorders>
            <w:shd w:val="clear" w:color="auto" w:fill="auto"/>
            <w:vAlign w:val="center"/>
          </w:tcPr>
          <w:p>
            <w:pPr>
              <w:adjustRightInd w:val="0"/>
              <w:snapToGrid w:val="0"/>
              <w:jc w:val="center"/>
              <w:rPr>
                <w:rStyle w:val="13"/>
                <w:rFonts w:hint="default"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15</w:t>
            </w:r>
          </w:p>
        </w:tc>
        <w:tc>
          <w:tcPr>
            <w:tcW w:w="2410" w:type="dxa"/>
            <w:tcBorders>
              <w:top w:val="single" w:color="000000" w:sz="8" w:space="0"/>
              <w:left w:val="single" w:color="000000" w:sz="8" w:space="0"/>
              <w:bottom w:val="single" w:color="auto" w:sz="4" w:space="0"/>
              <w:right w:val="single" w:color="000000" w:sz="8" w:space="0"/>
            </w:tcBorders>
            <w:shd w:val="clear" w:color="auto" w:fill="auto"/>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风幕机</w:t>
            </w:r>
          </w:p>
        </w:tc>
        <w:tc>
          <w:tcPr>
            <w:tcW w:w="1671" w:type="dxa"/>
            <w:tcBorders>
              <w:top w:val="single" w:color="000000" w:sz="8" w:space="0"/>
              <w:left w:val="single" w:color="000000" w:sz="8" w:space="0"/>
              <w:bottom w:val="single" w:color="auto" w:sz="4" w:space="0"/>
              <w:right w:val="single" w:color="000000" w:sz="8" w:space="0"/>
            </w:tcBorders>
            <w:shd w:val="clear" w:color="auto" w:fill="auto"/>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5</w:t>
            </w:r>
          </w:p>
        </w:tc>
        <w:tc>
          <w:tcPr>
            <w:tcW w:w="2013" w:type="dxa"/>
            <w:tcBorders>
              <w:top w:val="single" w:color="000000" w:sz="8" w:space="0"/>
              <w:left w:val="single" w:color="000000" w:sz="8" w:space="0"/>
              <w:bottom w:val="single" w:color="auto" w:sz="4" w:space="0"/>
              <w:right w:val="single" w:color="000000" w:sz="8" w:space="0"/>
            </w:tcBorders>
            <w:shd w:val="clear" w:color="auto" w:fill="auto"/>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台</w:t>
            </w:r>
          </w:p>
        </w:tc>
      </w:tr>
    </w:tbl>
    <w:p>
      <w:pPr>
        <w:spacing w:line="360" w:lineRule="auto"/>
        <w:ind w:firstLine="422" w:firstLineChars="200"/>
        <w:rPr>
          <w:rFonts w:hint="eastAsia" w:ascii="仿宋" w:hAnsi="仿宋" w:eastAsia="仿宋" w:cs="仿宋"/>
          <w:b/>
        </w:rPr>
      </w:pPr>
    </w:p>
    <w:p>
      <w:pPr>
        <w:spacing w:line="360" w:lineRule="auto"/>
        <w:ind w:firstLine="422" w:firstLineChars="200"/>
        <w:rPr>
          <w:rFonts w:hint="eastAsia" w:ascii="仿宋" w:hAnsi="仿宋" w:eastAsia="仿宋" w:cs="仿宋"/>
          <w:b/>
        </w:rPr>
      </w:pP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7"/>
        <w:gridCol w:w="1709"/>
        <w:gridCol w:w="5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491" w:type="pct"/>
            <w:vAlign w:val="center"/>
          </w:tcPr>
          <w:p>
            <w:pPr>
              <w:adjustRightInd w:val="0"/>
              <w:snapToGrid w:val="0"/>
              <w:jc w:val="center"/>
              <w:rPr>
                <w:rFonts w:hint="eastAsia" w:ascii="仿宋" w:hAnsi="仿宋" w:eastAsia="仿宋" w:cs="仿宋"/>
                <w:b/>
                <w:bCs/>
                <w:kern w:val="0"/>
                <w:sz w:val="20"/>
                <w:szCs w:val="20"/>
              </w:rPr>
            </w:pPr>
            <w:r>
              <w:rPr>
                <w:rFonts w:hint="eastAsia" w:ascii="仿宋" w:hAnsi="仿宋" w:eastAsia="仿宋" w:cs="仿宋"/>
                <w:b/>
                <w:bCs/>
                <w:kern w:val="0"/>
                <w:sz w:val="20"/>
                <w:szCs w:val="20"/>
              </w:rPr>
              <w:t>序号</w:t>
            </w:r>
          </w:p>
        </w:tc>
        <w:tc>
          <w:tcPr>
            <w:tcW w:w="1003" w:type="pct"/>
            <w:vAlign w:val="center"/>
          </w:tcPr>
          <w:p>
            <w:pPr>
              <w:adjustRightInd w:val="0"/>
              <w:snapToGrid w:val="0"/>
              <w:jc w:val="center"/>
              <w:rPr>
                <w:rFonts w:hint="default" w:ascii="仿宋" w:hAnsi="仿宋" w:eastAsia="仿宋" w:cs="仿宋"/>
                <w:b/>
                <w:bCs/>
                <w:kern w:val="0"/>
                <w:sz w:val="20"/>
                <w:szCs w:val="20"/>
                <w:lang w:val="en-US" w:eastAsia="zh-CN"/>
              </w:rPr>
            </w:pPr>
            <w:r>
              <w:rPr>
                <w:rFonts w:hint="eastAsia" w:ascii="仿宋" w:hAnsi="仿宋" w:eastAsia="仿宋" w:cs="仿宋"/>
                <w:b/>
                <w:bCs/>
                <w:kern w:val="0"/>
                <w:sz w:val="20"/>
                <w:szCs w:val="20"/>
                <w:lang w:val="en-US" w:eastAsia="zh-CN"/>
              </w:rPr>
              <w:t>品目</w:t>
            </w:r>
          </w:p>
        </w:tc>
        <w:tc>
          <w:tcPr>
            <w:tcW w:w="3505" w:type="pct"/>
            <w:vAlign w:val="center"/>
          </w:tcPr>
          <w:p>
            <w:pPr>
              <w:adjustRightInd w:val="0"/>
              <w:snapToGrid w:val="0"/>
              <w:jc w:val="center"/>
              <w:rPr>
                <w:rFonts w:hint="default" w:ascii="仿宋" w:hAnsi="仿宋" w:eastAsia="仿宋" w:cs="仿宋"/>
                <w:b/>
                <w:bCs/>
                <w:kern w:val="0"/>
                <w:sz w:val="20"/>
                <w:szCs w:val="20"/>
                <w:lang w:val="en-US" w:eastAsia="zh-CN"/>
              </w:rPr>
            </w:pPr>
            <w:r>
              <w:rPr>
                <w:rFonts w:hint="eastAsia" w:ascii="仿宋" w:hAnsi="仿宋" w:eastAsia="仿宋" w:cs="仿宋"/>
                <w:b/>
                <w:bCs/>
                <w:kern w:val="0"/>
                <w:sz w:val="20"/>
                <w:szCs w:val="20"/>
              </w:rPr>
              <w:t>技术参数与性能指标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91" w:type="pct"/>
            <w:vAlign w:val="center"/>
          </w:tcPr>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1</w:t>
            </w:r>
          </w:p>
        </w:tc>
        <w:tc>
          <w:tcPr>
            <w:tcW w:w="1003" w:type="pct"/>
            <w:vAlign w:val="center"/>
          </w:tcPr>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六门冰箱</w:t>
            </w:r>
          </w:p>
        </w:tc>
        <w:tc>
          <w:tcPr>
            <w:tcW w:w="3505" w:type="pct"/>
            <w:vAlign w:val="center"/>
          </w:tcPr>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 xml:space="preserve">1、制冷方式：直冷；尺寸：≥1800×710×2000（mm）；温控类型：机械\数显；冷藏室温度：+10℃～-1℃；冷冻室温度：-10℃～-18℃；电源：220V50Hz，功率：≥690W；门数：实体六门； </w:t>
            </w:r>
          </w:p>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 xml:space="preserve">2、产品内胆材质达到食品级； </w:t>
            </w:r>
          </w:p>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3、进行恒定湿热试验后，应能正常工作，符合GB/T 2423.3-2016《 环境试验 第2部分：试验方法 试验Cab：恒定湿热试验》；进行盐雾试验后，应无明显腐蚀现象，符合GB/T 2423.17-2008《电工电子产品环境试验 第2部分试验方法 试验Ka盐雾》</w:t>
            </w:r>
          </w:p>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4、净容积：≥1330L；双机双温，冷冻室温度等级不低于L3级（-12℃～-15℃）、冷藏室温度等级不低于H2级（+10℃～-1℃）标准下，带防凝露电加热，总能量消耗：≤5.50kwh/24h；依据GB 26920.2-2015《商用制冷器具能效限定值和能效等级　第2部分：自携冷凝机组商用冷柜》达到一级能效标准。</w:t>
            </w:r>
          </w:p>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91" w:type="pct"/>
            <w:vAlign w:val="center"/>
          </w:tcPr>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2</w:t>
            </w:r>
          </w:p>
        </w:tc>
        <w:tc>
          <w:tcPr>
            <w:tcW w:w="1003" w:type="pct"/>
            <w:vAlign w:val="center"/>
          </w:tcPr>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燃气单头小炒炉</w:t>
            </w:r>
          </w:p>
        </w:tc>
        <w:tc>
          <w:tcPr>
            <w:tcW w:w="3505" w:type="pct"/>
            <w:vAlign w:val="center"/>
          </w:tcPr>
          <w:p>
            <w:pPr>
              <w:numPr>
                <w:ilvl w:val="0"/>
                <w:numId w:val="0"/>
              </w:numPr>
              <w:adjustRightInd w:val="0"/>
              <w:snapToGrid w:val="0"/>
              <w:jc w:val="both"/>
              <w:rPr>
                <w:rStyle w:val="13"/>
                <w:rFonts w:hint="default"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1、材质：201不锈钢。尺寸：长宽高≥1150*1000*1150(mm)</w:t>
            </w:r>
          </w:p>
          <w:p>
            <w:pPr>
              <w:numPr>
                <w:ilvl w:val="0"/>
                <w:numId w:val="0"/>
              </w:num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。面板厚度≧1.2mm；前挡、侧挡厚度≧1.2mm厚，门板厚度≧1.2mm厚，侧板、后板厚度≧1.0mm厚；气源：天然气。</w:t>
            </w:r>
          </w:p>
          <w:p>
            <w:pPr>
              <w:numPr>
                <w:ilvl w:val="0"/>
                <w:numId w:val="0"/>
              </w:num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2、配不锈钢全钢摇摆水龙头；</w:t>
            </w:r>
          </w:p>
          <w:p>
            <w:pPr>
              <w:numPr>
                <w:ilvl w:val="0"/>
                <w:numId w:val="0"/>
              </w:numPr>
              <w:adjustRightInd w:val="0"/>
              <w:snapToGrid w:val="0"/>
              <w:jc w:val="both"/>
              <w:rPr>
                <w:rStyle w:val="13"/>
                <w:rFonts w:hint="default"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3、燃烧噪声≦60dB(A)；</w:t>
            </w:r>
          </w:p>
          <w:p>
            <w:pPr>
              <w:numPr>
                <w:ilvl w:val="0"/>
                <w:numId w:val="0"/>
              </w:num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 xml:space="preserve">4、炉面配置炒围铸铁锅圈；炉面前沿设置水槽及滤水板；  </w:t>
            </w:r>
          </w:p>
          <w:p>
            <w:pPr>
              <w:numPr>
                <w:ilvl w:val="0"/>
                <w:numId w:val="0"/>
              </w:num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 xml:space="preserve">5、产品气密性、干烟气中CO、热效率、电气性能等符合国家标准； </w:t>
            </w:r>
          </w:p>
          <w:p>
            <w:pPr>
              <w:numPr>
                <w:ilvl w:val="0"/>
                <w:numId w:val="0"/>
              </w:num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 xml:space="preserve">6、配置离子熄火保护装置. </w:t>
            </w:r>
          </w:p>
          <w:p>
            <w:pPr>
              <w:pStyle w:val="3"/>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91" w:type="pct"/>
            <w:vAlign w:val="center"/>
          </w:tcPr>
          <w:p>
            <w:pPr>
              <w:adjustRightInd w:val="0"/>
              <w:snapToGrid w:val="0"/>
              <w:jc w:val="both"/>
              <w:rPr>
                <w:rStyle w:val="13"/>
                <w:rFonts w:hint="default"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3</w:t>
            </w:r>
          </w:p>
        </w:tc>
        <w:tc>
          <w:tcPr>
            <w:tcW w:w="1003" w:type="pct"/>
            <w:vAlign w:val="center"/>
          </w:tcPr>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中餐燃气炒菜灶</w:t>
            </w:r>
          </w:p>
        </w:tc>
        <w:tc>
          <w:tcPr>
            <w:tcW w:w="3505" w:type="pct"/>
            <w:vAlign w:val="center"/>
          </w:tcPr>
          <w:p>
            <w:pPr>
              <w:adjustRightInd w:val="0"/>
              <w:snapToGrid w:val="0"/>
              <w:jc w:val="both"/>
              <w:rPr>
                <w:rStyle w:val="13"/>
                <w:rFonts w:hint="default"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1、额定电压：AC220V-240V，额定频率：50/60Hz，额定功率：≤45W；尺寸≥2000*1200*800+450（mm）;气源：天然气。</w:t>
            </w:r>
          </w:p>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2、材质：304不锈钢板，面板、前脸板厚δ≥1.2mm；外旁板、后立板201J1/J4，板厚δ≥1.0mm,龙骨架国标不锈钢方管25*38厚≥1.2mm；衬板电解镀锌钢板厚δ≥1.2mm,灶身双层热轧钢板，隔热层厚≥40,炉膛≥50厚耐高温材料；</w:t>
            </w:r>
          </w:p>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3、炉膛采用不锈钢合金材料；配全预混式节能炉头，≤43V直流风机 ，一键启动；</w:t>
            </w:r>
          </w:p>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4、产品符合GB35848-2018《商用燃气燃烧器具》要求；所投产品额定热负荷≥35KW*2，热负荷准确度±10%以内，热效率45%以上；</w:t>
            </w:r>
          </w:p>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5、设备有主板保护功能。</w:t>
            </w:r>
          </w:p>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6、设备有火力功率调节。</w:t>
            </w:r>
          </w:p>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91" w:type="pct"/>
            <w:vAlign w:val="center"/>
          </w:tcPr>
          <w:p>
            <w:pPr>
              <w:adjustRightInd w:val="0"/>
              <w:snapToGrid w:val="0"/>
              <w:jc w:val="both"/>
              <w:rPr>
                <w:rStyle w:val="13"/>
                <w:rFonts w:hint="default"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4</w:t>
            </w:r>
          </w:p>
        </w:tc>
        <w:tc>
          <w:tcPr>
            <w:tcW w:w="1003" w:type="pct"/>
            <w:vAlign w:val="center"/>
          </w:tcPr>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单眼吊汤燃气灶</w:t>
            </w:r>
          </w:p>
        </w:tc>
        <w:tc>
          <w:tcPr>
            <w:tcW w:w="3505" w:type="pct"/>
            <w:vAlign w:val="center"/>
          </w:tcPr>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1、气源：天然气。材质：201不锈钢。                                                                      2、熄火保护装置，燃气泄露热电式熄火保护装置，开阀时间≤45s，闭阀时间≤60s。</w:t>
            </w:r>
          </w:p>
          <w:p>
            <w:pPr>
              <w:adjustRightInd w:val="0"/>
              <w:snapToGrid w:val="0"/>
              <w:jc w:val="both"/>
              <w:rPr>
                <w:rStyle w:val="13"/>
                <w:rFonts w:hint="default"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3、所投设备运行噪声≤80dB(A)，多炉头烟气中CO(a=1）含量不应大于0.1%。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91" w:type="pct"/>
            <w:vAlign w:val="center"/>
          </w:tcPr>
          <w:p>
            <w:pPr>
              <w:adjustRightInd w:val="0"/>
              <w:snapToGrid w:val="0"/>
              <w:jc w:val="both"/>
              <w:rPr>
                <w:rStyle w:val="13"/>
                <w:rFonts w:hint="default"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5</w:t>
            </w:r>
          </w:p>
        </w:tc>
        <w:tc>
          <w:tcPr>
            <w:tcW w:w="1003" w:type="pct"/>
            <w:vAlign w:val="center"/>
          </w:tcPr>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单头燃气大锅灶</w:t>
            </w:r>
          </w:p>
        </w:tc>
        <w:tc>
          <w:tcPr>
            <w:tcW w:w="3505" w:type="pct"/>
            <w:vAlign w:val="center"/>
          </w:tcPr>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1、整体采用304不锈钢板；面板≥1.2mm厚，围板、背板、侧板、后挡板≥1.2mm厚；</w:t>
            </w:r>
          </w:p>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2、内衬台面板、炉膛使用A3黑铁板，并以耐火砖砌实，前沿带溢水排污槽，配挡渣板；</w:t>
            </w:r>
          </w:p>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3、炉体骨架采用≥40*40*4（mm）角钢加固，立柱采用304≥Φ50*1.2mm不锈钢管内含钢柱，配可调节高度子弹脚；</w:t>
            </w:r>
          </w:p>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4、燃烧噪声≦60dB(A)；</w:t>
            </w:r>
          </w:p>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5、干烟气中CO（a=1）的含量≤0.03%；</w:t>
            </w:r>
          </w:p>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6、配不锈钢全钢摇摆水龙头；</w:t>
            </w:r>
          </w:p>
          <w:p>
            <w:pPr>
              <w:adjustRightInd w:val="0"/>
              <w:snapToGrid w:val="0"/>
              <w:jc w:val="both"/>
              <w:rPr>
                <w:rStyle w:val="13"/>
                <w:rFonts w:hint="default"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7、尺寸：≥1100*1150*800+450（mm）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91" w:type="pct"/>
            <w:vAlign w:val="center"/>
          </w:tcPr>
          <w:p>
            <w:pPr>
              <w:adjustRightInd w:val="0"/>
              <w:snapToGrid w:val="0"/>
              <w:jc w:val="both"/>
              <w:rPr>
                <w:rStyle w:val="13"/>
                <w:rFonts w:hint="default"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6</w:t>
            </w:r>
          </w:p>
        </w:tc>
        <w:tc>
          <w:tcPr>
            <w:tcW w:w="1003" w:type="pct"/>
            <w:vAlign w:val="center"/>
          </w:tcPr>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热风循环消毒柜</w:t>
            </w:r>
          </w:p>
        </w:tc>
        <w:tc>
          <w:tcPr>
            <w:tcW w:w="3505" w:type="pct"/>
            <w:vAlign w:val="center"/>
          </w:tcPr>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 xml:space="preserve">1、双门，304不锈钢外壳；外形参数：≥宽1200*厚600*高1900（mm），容积：≥750L,功率：≥ 3000W； </w:t>
            </w:r>
          </w:p>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 xml:space="preserve">2、电热方式高温消毒，120℃以上保持时间≥15分钟；在满载状态下内最高温度可达220℃以上；符合 GB17988-2008《食具消毒柜安全和卫生要求》、《消毒技术规范》2002年版的相关要求； </w:t>
            </w:r>
          </w:p>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 xml:space="preserve">3、不锈钢箱体；导轨式四层快餐盘专用层架；热风循环，精确控温；子弹头柜脚；带独立温度显示器； </w:t>
            </w:r>
          </w:p>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 xml:space="preserve">4、材质材料：箱体、层架等有可能与餐具接触的材料符合GB 4806.1-2016《食品安全国家标准 食品 接触材料及制品通用安全要求》。 </w:t>
            </w:r>
          </w:p>
          <w:p>
            <w:pPr>
              <w:pStyle w:val="2"/>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91" w:type="pct"/>
            <w:vAlign w:val="center"/>
          </w:tcPr>
          <w:p>
            <w:pPr>
              <w:adjustRightInd w:val="0"/>
              <w:snapToGrid w:val="0"/>
              <w:jc w:val="both"/>
              <w:rPr>
                <w:rStyle w:val="13"/>
                <w:rFonts w:hint="default"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7</w:t>
            </w:r>
          </w:p>
        </w:tc>
        <w:tc>
          <w:tcPr>
            <w:tcW w:w="1003" w:type="pct"/>
            <w:vAlign w:val="center"/>
          </w:tcPr>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刀具消毒柜</w:t>
            </w:r>
          </w:p>
        </w:tc>
        <w:tc>
          <w:tcPr>
            <w:tcW w:w="3505" w:type="pct"/>
            <w:vAlign w:val="center"/>
          </w:tcPr>
          <w:p>
            <w:pPr>
              <w:numPr>
                <w:ilvl w:val="0"/>
                <w:numId w:val="1"/>
              </w:num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采用304#不锈钢外壳，有机玻璃门；紫外线杀菌，360度无盲区；容量:12把以上厨师刀，小刀数量12把以上，配锁；设有开门保险及消毒时间掣，设有挂墙孔。</w:t>
            </w:r>
          </w:p>
          <w:p>
            <w:pPr>
              <w:pStyle w:val="2"/>
              <w:numPr>
                <w:ilvl w:val="0"/>
                <w:numId w:val="1"/>
              </w:numPr>
              <w:rPr>
                <w:rFonts w:hint="eastAsia"/>
                <w:lang w:val="en-US" w:eastAsia="zh-CN"/>
              </w:rPr>
            </w:pPr>
            <w:r>
              <w:rPr>
                <w:rFonts w:hint="eastAsia"/>
                <w:lang w:val="en-US" w:eastAsia="zh-CN"/>
              </w:rPr>
              <w:t>尺寸≥</w:t>
            </w:r>
            <w:r>
              <w:rPr>
                <w:rStyle w:val="13"/>
                <w:rFonts w:hint="eastAsia" w:ascii="仿宋" w:hAnsi="仿宋" w:eastAsia="仿宋" w:cs="仿宋"/>
                <w:b w:val="0"/>
                <w:bCs w:val="0"/>
                <w:color w:val="000000" w:themeColor="text1"/>
                <w:kern w:val="2"/>
                <w:sz w:val="21"/>
                <w:szCs w:val="21"/>
                <w:lang w:val="en-US" w:eastAsia="zh-CN" w:bidi="ar"/>
                <w14:textFill>
                  <w14:solidFill>
                    <w14:schemeClr w14:val="tx1"/>
                  </w14:solidFill>
                </w14:textFill>
              </w:rPr>
              <w:t>420*170*610（mm）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91" w:type="pct"/>
            <w:vAlign w:val="center"/>
          </w:tcPr>
          <w:p>
            <w:pPr>
              <w:adjustRightInd w:val="0"/>
              <w:snapToGrid w:val="0"/>
              <w:jc w:val="both"/>
              <w:rPr>
                <w:rStyle w:val="13"/>
                <w:rFonts w:hint="default"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8</w:t>
            </w:r>
          </w:p>
        </w:tc>
        <w:tc>
          <w:tcPr>
            <w:tcW w:w="1003" w:type="pct"/>
            <w:vAlign w:val="center"/>
          </w:tcPr>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双门燃气蒸饭柜</w:t>
            </w:r>
          </w:p>
        </w:tc>
        <w:tc>
          <w:tcPr>
            <w:tcW w:w="3505" w:type="pct"/>
            <w:vAlign w:val="center"/>
          </w:tcPr>
          <w:p>
            <w:pPr>
              <w:adjustRightInd w:val="0"/>
              <w:snapToGrid w:val="0"/>
              <w:jc w:val="both"/>
              <w:rPr>
                <w:rStyle w:val="13"/>
                <w:rFonts w:hint="default"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1、材质：304不锈钢。气源：天然气。</w:t>
            </w:r>
          </w:p>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2、含防干烧功能；</w:t>
            </w:r>
          </w:p>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3、设置常明火种，即时熄火保护设计；双联电磁阀分步控制，自动脉冲电子点火，两组燃气开关，无极调速变频，故障代码显示；</w:t>
            </w:r>
          </w:p>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4、水胆加玻璃纤维保温材料；抽拉式层架设计，有锁轨道防止层架滑落；含水垢磁化管；</w:t>
            </w:r>
          </w:p>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5、产品符合GB35848-2018《商用燃气燃烧器具》要求；所投产品额定热负荷≥26KW，热负荷准确度±10%以内，热效率90%以上；</w:t>
            </w:r>
          </w:p>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6、含有燃气泄漏模块功能;</w:t>
            </w:r>
          </w:p>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7、含有风机功率调节及转速显示功能;</w:t>
            </w:r>
          </w:p>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8、含有火力功率调节及火力显示功能;</w:t>
            </w:r>
          </w:p>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9、含有自动恒温功能;</w:t>
            </w:r>
          </w:p>
          <w:p>
            <w:pPr>
              <w:pStyle w:val="2"/>
              <w:rPr>
                <w:rFonts w:hint="default"/>
                <w:lang w:val="en-US" w:eastAsia="zh-CN"/>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10、尺寸：≥1150*950*1920（mm），</w:t>
            </w:r>
            <w:r>
              <w:rPr>
                <w:rStyle w:val="13"/>
                <w:rFonts w:hint="eastAsia" w:ascii="仿宋" w:hAnsi="仿宋" w:eastAsia="仿宋" w:cs="仿宋"/>
                <w:b w:val="0"/>
                <w:bCs w:val="0"/>
                <w:color w:val="000000" w:themeColor="text1"/>
                <w:kern w:val="2"/>
                <w:sz w:val="21"/>
                <w:szCs w:val="21"/>
                <w:lang w:val="en-US" w:eastAsia="zh-CN" w:bidi="ar"/>
                <w14:textFill>
                  <w14:solidFill>
                    <w14:schemeClr w14:val="tx1"/>
                  </w14:solidFill>
                </w14:textFill>
              </w:rPr>
              <w:t>内胆板厚δ≥1.2；外旁板、门及后立板201J1/J4、板厚δ≥1.0；不含盘；</w:t>
            </w:r>
          </w:p>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91" w:type="pct"/>
            <w:vAlign w:val="center"/>
          </w:tcPr>
          <w:p>
            <w:pPr>
              <w:adjustRightInd w:val="0"/>
              <w:snapToGrid w:val="0"/>
              <w:jc w:val="both"/>
              <w:rPr>
                <w:rStyle w:val="13"/>
                <w:rFonts w:hint="default"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9</w:t>
            </w:r>
          </w:p>
        </w:tc>
        <w:tc>
          <w:tcPr>
            <w:tcW w:w="1003" w:type="pct"/>
            <w:vAlign w:val="center"/>
          </w:tcPr>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三网双刀绞肉机</w:t>
            </w:r>
          </w:p>
        </w:tc>
        <w:tc>
          <w:tcPr>
            <w:tcW w:w="3505" w:type="pct"/>
            <w:vAlign w:val="center"/>
          </w:tcPr>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1、整机采用304不锈钢，表面喷砂处理，整机预期与食材接触的部位符合GB 4806.9-2016要求；传动方式为直接传动，无皮带，无链条，扭力大；具有马达过载自动停机自动复位功能；</w:t>
            </w:r>
          </w:p>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2、采用粗中细三个绞网切削，经大小不同孔板进行分割绞肉，能保持肉的颗粒口感和肉的观感度；</w:t>
            </w:r>
          </w:p>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3、防护等级不低于IP65级，可使用高压水枪直接清洗；</w:t>
            </w:r>
          </w:p>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4、入料尺寸：≥100mm，切割尺寸：3、4、6、8mm，生产能力：400-600Kg/小时；</w:t>
            </w:r>
          </w:p>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5、电压：380V 三相 50Hz，功率：≤4Kw。</w:t>
            </w:r>
          </w:p>
          <w:p>
            <w:pPr>
              <w:pStyle w:val="2"/>
              <w:rPr>
                <w:rFonts w:hint="default"/>
                <w:lang w:val="en-US" w:eastAsia="zh-CN"/>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6、外形尺寸≥1040*540*980mm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91" w:type="pct"/>
            <w:vAlign w:val="center"/>
          </w:tcPr>
          <w:p>
            <w:pPr>
              <w:adjustRightInd w:val="0"/>
              <w:snapToGrid w:val="0"/>
              <w:jc w:val="both"/>
              <w:rPr>
                <w:rStyle w:val="13"/>
                <w:rFonts w:hint="default"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10</w:t>
            </w:r>
          </w:p>
        </w:tc>
        <w:tc>
          <w:tcPr>
            <w:tcW w:w="1003" w:type="pct"/>
            <w:vAlign w:val="center"/>
          </w:tcPr>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双门立式保鲜柜</w:t>
            </w:r>
          </w:p>
        </w:tc>
        <w:tc>
          <w:tcPr>
            <w:tcW w:w="3505" w:type="pct"/>
            <w:vAlign w:val="center"/>
          </w:tcPr>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1、容量≥500L</w:t>
            </w:r>
          </w:p>
          <w:p>
            <w:pPr>
              <w:adjustRightInd w:val="0"/>
              <w:snapToGrid w:val="0"/>
              <w:jc w:val="both"/>
              <w:rPr>
                <w:rStyle w:val="13"/>
                <w:rFonts w:hint="default"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2、层数≥4层</w:t>
            </w:r>
          </w:p>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3、功能：冷藏</w:t>
            </w:r>
          </w:p>
          <w:p>
            <w:pPr>
              <w:adjustRightInd w:val="0"/>
              <w:snapToGrid w:val="0"/>
              <w:jc w:val="both"/>
              <w:rPr>
                <w:rStyle w:val="13"/>
                <w:rFonts w:hint="default"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4、</w:t>
            </w:r>
            <w:r>
              <w:rPr>
                <w:rStyle w:val="13"/>
                <w:rFonts w:hint="default" w:ascii="仿宋" w:hAnsi="仿宋" w:eastAsia="仿宋" w:cs="仿宋"/>
                <w:b w:val="0"/>
                <w:bCs w:val="0"/>
                <w:color w:val="000000" w:themeColor="text1"/>
                <w:sz w:val="21"/>
                <w:szCs w:val="21"/>
                <w:lang w:val="en-US" w:eastAsia="zh-CN" w:bidi="ar"/>
                <w14:textFill>
                  <w14:solidFill>
                    <w14:schemeClr w14:val="tx1"/>
                  </w14:solidFill>
                </w14:textFill>
              </w:rPr>
              <w:t>制冷方式：直冷；尺寸：≥1200×700×1950（mm）；温控类型：机械\数显；温度：+10℃～</w:t>
            </w: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w:t>
            </w:r>
            <w:r>
              <w:rPr>
                <w:rStyle w:val="13"/>
                <w:rFonts w:hint="default" w:ascii="仿宋" w:hAnsi="仿宋" w:eastAsia="仿宋" w:cs="仿宋"/>
                <w:b w:val="0"/>
                <w:bCs w:val="0"/>
                <w:color w:val="000000" w:themeColor="text1"/>
                <w:sz w:val="21"/>
                <w:szCs w:val="21"/>
                <w:lang w:val="en-US" w:eastAsia="zh-CN" w:bidi="ar"/>
                <w14:textFill>
                  <w14:solidFill>
                    <w14:schemeClr w14:val="tx1"/>
                  </w14:solidFill>
                </w14:textFill>
              </w:rPr>
              <w:t xml:space="preserve">1℃；电源：220V50Hz，功率：≥400W；门数：双门； </w:t>
            </w:r>
          </w:p>
          <w:p>
            <w:pPr>
              <w:adjustRightInd w:val="0"/>
              <w:snapToGrid w:val="0"/>
              <w:jc w:val="both"/>
              <w:rPr>
                <w:rFonts w:hint="default"/>
                <w:lang w:val="en-US" w:eastAsia="zh-CN"/>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5、</w:t>
            </w:r>
            <w:r>
              <w:rPr>
                <w:rStyle w:val="13"/>
                <w:rFonts w:hint="default" w:ascii="仿宋" w:hAnsi="仿宋" w:eastAsia="仿宋" w:cs="仿宋"/>
                <w:b w:val="0"/>
                <w:bCs w:val="0"/>
                <w:color w:val="000000" w:themeColor="text1"/>
                <w:sz w:val="21"/>
                <w:szCs w:val="21"/>
                <w:lang w:val="en-US" w:eastAsia="zh-CN" w:bidi="ar"/>
                <w14:textFill>
                  <w14:solidFill>
                    <w14:schemeClr w14:val="tx1"/>
                  </w14:solidFill>
                </w14:textFill>
              </w:rPr>
              <w:t xml:space="preserve">产品整机材质达到食品级；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91" w:type="pct"/>
            <w:vAlign w:val="center"/>
          </w:tcPr>
          <w:p>
            <w:pPr>
              <w:adjustRightInd w:val="0"/>
              <w:snapToGrid w:val="0"/>
              <w:jc w:val="both"/>
              <w:rPr>
                <w:rStyle w:val="13"/>
                <w:rFonts w:hint="default"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11</w:t>
            </w:r>
          </w:p>
        </w:tc>
        <w:tc>
          <w:tcPr>
            <w:tcW w:w="1003" w:type="pct"/>
            <w:vAlign w:val="center"/>
          </w:tcPr>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卧式冰柜</w:t>
            </w:r>
          </w:p>
        </w:tc>
        <w:tc>
          <w:tcPr>
            <w:tcW w:w="3505" w:type="pct"/>
            <w:vAlign w:val="center"/>
          </w:tcPr>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1、容量≥500L</w:t>
            </w:r>
          </w:p>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2、功能：冷冻与冷藏，冷藏温度：-6～10℃</w:t>
            </w:r>
          </w:p>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冷冻温度：≤-18℃</w:t>
            </w:r>
          </w:p>
          <w:p>
            <w:pPr>
              <w:adjustRightInd w:val="0"/>
              <w:snapToGrid w:val="0"/>
              <w:jc w:val="both"/>
              <w:rPr>
                <w:rFonts w:hint="default"/>
                <w:lang w:val="en-US" w:eastAsia="zh-CN"/>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3、外形尺寸≥1960*810*900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91" w:type="pct"/>
            <w:vAlign w:val="center"/>
          </w:tcPr>
          <w:p>
            <w:pPr>
              <w:adjustRightInd w:val="0"/>
              <w:snapToGrid w:val="0"/>
              <w:jc w:val="both"/>
              <w:rPr>
                <w:rStyle w:val="13"/>
                <w:rFonts w:hint="default"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12</w:t>
            </w:r>
          </w:p>
        </w:tc>
        <w:tc>
          <w:tcPr>
            <w:tcW w:w="1003" w:type="pct"/>
            <w:vAlign w:val="center"/>
          </w:tcPr>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制冰机</w:t>
            </w:r>
          </w:p>
        </w:tc>
        <w:tc>
          <w:tcPr>
            <w:tcW w:w="3505" w:type="pct"/>
            <w:vAlign w:val="center"/>
          </w:tcPr>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1、冷凝方式：风冷，冰型：方冰，日产冰量≥60KG，储冰量≥25KG。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91" w:type="pct"/>
            <w:vAlign w:val="center"/>
          </w:tcPr>
          <w:p>
            <w:pPr>
              <w:adjustRightInd w:val="0"/>
              <w:snapToGrid w:val="0"/>
              <w:jc w:val="both"/>
              <w:rPr>
                <w:rStyle w:val="13"/>
                <w:rFonts w:hint="default"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13</w:t>
            </w:r>
          </w:p>
        </w:tc>
        <w:tc>
          <w:tcPr>
            <w:tcW w:w="1003" w:type="pct"/>
            <w:vAlign w:val="center"/>
          </w:tcPr>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电炸炉</w:t>
            </w:r>
          </w:p>
        </w:tc>
        <w:tc>
          <w:tcPr>
            <w:tcW w:w="3505" w:type="pct"/>
            <w:vAlign w:val="center"/>
          </w:tcPr>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1、机身、炉盖、炸筛：304不锈钢。</w:t>
            </w:r>
          </w:p>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 xml:space="preserve">2、温度（℃）：30~300； </w:t>
            </w:r>
          </w:p>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 xml:space="preserve">3、功率（kw）：≥12； </w:t>
            </w:r>
          </w:p>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 xml:space="preserve">4、电压（V）：380； </w:t>
            </w:r>
          </w:p>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 xml:space="preserve">5、油缸容量(L)：≥(20±2)+(20±2)； </w:t>
            </w:r>
          </w:p>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 xml:space="preserve">6、外形尺寸≥800*800*900mm； </w:t>
            </w:r>
          </w:p>
          <w:p>
            <w:pPr>
              <w:adjustRightInd w:val="0"/>
              <w:snapToGrid w:val="0"/>
              <w:jc w:val="both"/>
              <w:rPr>
                <w:rFonts w:hint="default"/>
                <w:lang w:val="en-US" w:eastAsia="zh-CN"/>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7、配置两个不锈钢炸框。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91" w:type="pct"/>
            <w:vAlign w:val="center"/>
          </w:tcPr>
          <w:p>
            <w:pPr>
              <w:adjustRightInd w:val="0"/>
              <w:snapToGrid w:val="0"/>
              <w:jc w:val="both"/>
              <w:rPr>
                <w:rStyle w:val="13"/>
                <w:rFonts w:hint="default"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14</w:t>
            </w:r>
          </w:p>
        </w:tc>
        <w:tc>
          <w:tcPr>
            <w:tcW w:w="1003" w:type="pct"/>
            <w:vAlign w:val="center"/>
          </w:tcPr>
          <w:p>
            <w:pPr>
              <w:adjustRightInd w:val="0"/>
              <w:snapToGrid w:val="0"/>
              <w:jc w:val="left"/>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四层栅格菜架</w:t>
            </w:r>
          </w:p>
        </w:tc>
        <w:tc>
          <w:tcPr>
            <w:tcW w:w="3505" w:type="pct"/>
            <w:vAlign w:val="center"/>
          </w:tcPr>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 xml:space="preserve">1、层板采用不锈钢管焊接；  </w:t>
            </w:r>
          </w:p>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2、立柱采用Φ38*1.2mm不锈钢管加配不锈钢可调子弹脚。</w:t>
            </w:r>
          </w:p>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3、产品焊接部位牢固，焊纹均匀一致，不允许有未焊透、裂纹等缺陷。外露焊缝均进行抛光或取色处理，产品抛光后表面纹理应均匀一致，不得有划痕、锤印及烧痕。产品表面粗糙度Ra≤2.5μm，立柱与横梁的垂直度≤1mm/m；</w:t>
            </w:r>
          </w:p>
          <w:p>
            <w:pPr>
              <w:pStyle w:val="2"/>
              <w:rPr>
                <w:rFonts w:hint="default"/>
                <w:lang w:val="en-US" w:eastAsia="zh-CN"/>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4、尺寸≥1200*500*1540（mm）。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91" w:type="pct"/>
            <w:vAlign w:val="center"/>
          </w:tcPr>
          <w:p>
            <w:pPr>
              <w:adjustRightInd w:val="0"/>
              <w:snapToGrid w:val="0"/>
              <w:jc w:val="both"/>
              <w:rPr>
                <w:rStyle w:val="13"/>
                <w:rFonts w:hint="default"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15</w:t>
            </w:r>
          </w:p>
        </w:tc>
        <w:tc>
          <w:tcPr>
            <w:tcW w:w="1003" w:type="pct"/>
            <w:vAlign w:val="center"/>
          </w:tcPr>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风幕机</w:t>
            </w:r>
          </w:p>
        </w:tc>
        <w:tc>
          <w:tcPr>
            <w:tcW w:w="3505" w:type="pct"/>
            <w:vAlign w:val="center"/>
          </w:tcPr>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1、风速≥11m/s，噪音≤60dB；</w:t>
            </w:r>
          </w:p>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2、产品符合GB 4706.1-2005《家用和类似用途电器的安全 第1部分:通用要求》.GB 4706.27-2008《家用和类似用途电器的安全 第2部分：风扇的特殊要求》。</w:t>
            </w:r>
          </w:p>
          <w:p>
            <w:pPr>
              <w:adjustRightInd w:val="0"/>
              <w:snapToGrid w:val="0"/>
              <w:jc w:val="both"/>
              <w:rPr>
                <w:rStyle w:val="13"/>
                <w:rFonts w:hint="default"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3、长度1.8m。</w:t>
            </w:r>
          </w:p>
        </w:tc>
      </w:tr>
    </w:tbl>
    <w:p>
      <w:pPr>
        <w:pStyle w:val="4"/>
        <w:spacing w:before="156" w:beforeLines="50" w:after="156" w:afterLines="50"/>
        <w:ind w:firstLine="422"/>
        <w:rPr>
          <w:rFonts w:hint="eastAsia" w:ascii="仿宋" w:hAnsi="仿宋" w:eastAsia="仿宋" w:cs="仿宋"/>
          <w:b/>
        </w:rPr>
      </w:pPr>
      <w:r>
        <w:rPr>
          <w:rFonts w:hint="eastAsia" w:ascii="仿宋" w:hAnsi="仿宋" w:eastAsia="仿宋" w:cs="仿宋"/>
          <w:b/>
        </w:rPr>
        <w:t>包2：</w:t>
      </w:r>
      <w:r>
        <w:rPr>
          <w:rFonts w:hint="eastAsia" w:ascii="仿宋" w:hAnsi="仿宋" w:eastAsia="仿宋" w:cs="仿宋"/>
          <w:b/>
          <w:lang w:val="en-US" w:eastAsia="zh-CN"/>
        </w:rPr>
        <w:t>其他后勤专用设备拟采购清单</w:t>
      </w:r>
    </w:p>
    <w:tbl>
      <w:tblPr>
        <w:tblStyle w:val="9"/>
        <w:tblW w:w="8427" w:type="dxa"/>
        <w:tblInd w:w="96" w:type="dxa"/>
        <w:tblLayout w:type="fixed"/>
        <w:tblCellMar>
          <w:top w:w="0" w:type="dxa"/>
          <w:left w:w="108" w:type="dxa"/>
          <w:bottom w:w="0" w:type="dxa"/>
          <w:right w:w="108" w:type="dxa"/>
        </w:tblCellMar>
      </w:tblPr>
      <w:tblGrid>
        <w:gridCol w:w="638"/>
        <w:gridCol w:w="3764"/>
        <w:gridCol w:w="2113"/>
        <w:gridCol w:w="1912"/>
      </w:tblGrid>
      <w:tr>
        <w:tblPrEx>
          <w:tblCellMar>
            <w:top w:w="0" w:type="dxa"/>
            <w:left w:w="108" w:type="dxa"/>
            <w:bottom w:w="0" w:type="dxa"/>
            <w:right w:w="108" w:type="dxa"/>
          </w:tblCellMar>
        </w:tblPrEx>
        <w:trPr>
          <w:trHeight w:val="259" w:hRule="atLeast"/>
        </w:trPr>
        <w:tc>
          <w:tcPr>
            <w:tcW w:w="638" w:type="dxa"/>
            <w:tcBorders>
              <w:top w:val="single" w:color="000000" w:sz="8" w:space="0"/>
              <w:left w:val="single" w:color="000000" w:sz="8" w:space="0"/>
              <w:bottom w:val="single" w:color="auto" w:sz="4" w:space="0"/>
              <w:right w:val="single" w:color="000000" w:sz="8" w:space="0"/>
            </w:tcBorders>
            <w:shd w:val="clear" w:color="auto" w:fill="auto"/>
          </w:tcPr>
          <w:p>
            <w:pPr>
              <w:adjustRightInd w:val="0"/>
              <w:snapToGrid w:val="0"/>
              <w:jc w:val="center"/>
              <w:rPr>
                <w:rFonts w:hint="eastAsia" w:ascii="仿宋" w:hAnsi="仿宋" w:eastAsia="仿宋" w:cs="仿宋"/>
                <w:b/>
                <w:szCs w:val="21"/>
                <w:lang w:bidi="ar"/>
              </w:rPr>
            </w:pPr>
            <w:r>
              <w:rPr>
                <w:rFonts w:hint="eastAsia" w:ascii="仿宋" w:hAnsi="仿宋" w:eastAsia="仿宋" w:cs="仿宋"/>
                <w:b/>
                <w:szCs w:val="21"/>
                <w:lang w:bidi="ar"/>
              </w:rPr>
              <w:t>序号</w:t>
            </w:r>
          </w:p>
        </w:tc>
        <w:tc>
          <w:tcPr>
            <w:tcW w:w="3764" w:type="dxa"/>
            <w:tcBorders>
              <w:top w:val="single" w:color="000000" w:sz="8" w:space="0"/>
              <w:left w:val="single" w:color="000000" w:sz="8" w:space="0"/>
              <w:bottom w:val="single" w:color="auto" w:sz="4" w:space="0"/>
              <w:right w:val="single" w:color="000000" w:sz="8" w:space="0"/>
            </w:tcBorders>
            <w:shd w:val="clear" w:color="auto" w:fill="auto"/>
          </w:tcPr>
          <w:p>
            <w:pPr>
              <w:adjustRightInd w:val="0"/>
              <w:snapToGrid w:val="0"/>
              <w:jc w:val="center"/>
              <w:rPr>
                <w:rFonts w:hint="eastAsia" w:ascii="仿宋" w:hAnsi="仿宋" w:eastAsia="仿宋" w:cs="仿宋"/>
                <w:b/>
                <w:szCs w:val="21"/>
                <w:lang w:bidi="ar"/>
              </w:rPr>
            </w:pPr>
            <w:r>
              <w:rPr>
                <w:rFonts w:hint="eastAsia" w:ascii="仿宋" w:hAnsi="仿宋" w:eastAsia="仿宋" w:cs="仿宋"/>
                <w:b/>
                <w:szCs w:val="21"/>
                <w:lang w:bidi="ar"/>
              </w:rPr>
              <w:t>拟采购清单</w:t>
            </w:r>
          </w:p>
        </w:tc>
        <w:tc>
          <w:tcPr>
            <w:tcW w:w="2113" w:type="dxa"/>
            <w:tcBorders>
              <w:top w:val="single" w:color="000000" w:sz="8" w:space="0"/>
              <w:left w:val="single" w:color="000000" w:sz="8" w:space="0"/>
              <w:bottom w:val="single" w:color="auto" w:sz="4" w:space="0"/>
              <w:right w:val="single" w:color="000000" w:sz="8" w:space="0"/>
            </w:tcBorders>
            <w:shd w:val="clear" w:color="auto" w:fill="auto"/>
            <w:vAlign w:val="top"/>
          </w:tcPr>
          <w:p>
            <w:pPr>
              <w:adjustRightInd w:val="0"/>
              <w:snapToGrid w:val="0"/>
              <w:jc w:val="center"/>
              <w:rPr>
                <w:rFonts w:hint="eastAsia" w:ascii="仿宋" w:hAnsi="仿宋" w:eastAsia="仿宋" w:cs="仿宋"/>
                <w:b/>
                <w:kern w:val="2"/>
                <w:sz w:val="21"/>
                <w:szCs w:val="21"/>
                <w:lang w:val="en-US" w:eastAsia="zh-CN" w:bidi="ar"/>
              </w:rPr>
            </w:pPr>
            <w:r>
              <w:rPr>
                <w:rFonts w:hint="eastAsia" w:ascii="仿宋" w:hAnsi="仿宋" w:eastAsia="仿宋" w:cs="仿宋"/>
                <w:b/>
                <w:szCs w:val="21"/>
                <w:lang w:val="en-US" w:eastAsia="zh-CN" w:bidi="ar"/>
              </w:rPr>
              <w:t>单位</w:t>
            </w:r>
          </w:p>
        </w:tc>
        <w:tc>
          <w:tcPr>
            <w:tcW w:w="1912" w:type="dxa"/>
            <w:tcBorders>
              <w:top w:val="single" w:color="000000" w:sz="8" w:space="0"/>
              <w:left w:val="single" w:color="000000" w:sz="8" w:space="0"/>
              <w:bottom w:val="single" w:color="auto" w:sz="4" w:space="0"/>
              <w:right w:val="single" w:color="000000" w:sz="8" w:space="0"/>
            </w:tcBorders>
            <w:shd w:val="clear" w:color="auto" w:fill="auto"/>
            <w:vAlign w:val="top"/>
          </w:tcPr>
          <w:p>
            <w:pPr>
              <w:adjustRightInd w:val="0"/>
              <w:snapToGrid w:val="0"/>
              <w:jc w:val="center"/>
              <w:rPr>
                <w:rFonts w:hint="default" w:ascii="仿宋" w:hAnsi="仿宋" w:eastAsia="仿宋" w:cs="仿宋"/>
                <w:b/>
                <w:szCs w:val="21"/>
                <w:lang w:val="en-US" w:eastAsia="zh-CN" w:bidi="ar"/>
              </w:rPr>
            </w:pPr>
            <w:r>
              <w:rPr>
                <w:rFonts w:hint="eastAsia" w:ascii="仿宋" w:hAnsi="仿宋" w:eastAsia="仿宋" w:cs="仿宋"/>
                <w:b/>
                <w:szCs w:val="21"/>
                <w:lang w:bidi="ar"/>
              </w:rPr>
              <w:t>数量</w:t>
            </w:r>
          </w:p>
        </w:tc>
      </w:tr>
      <w:tr>
        <w:tblPrEx>
          <w:tblCellMar>
            <w:top w:w="0" w:type="dxa"/>
            <w:left w:w="108" w:type="dxa"/>
            <w:bottom w:w="0" w:type="dxa"/>
            <w:right w:w="108" w:type="dxa"/>
          </w:tblCellMar>
        </w:tblPrEx>
        <w:trPr>
          <w:trHeight w:val="284" w:hRule="atLeast"/>
        </w:trPr>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仿宋" w:hAnsi="仿宋" w:eastAsia="仿宋" w:cs="仿宋"/>
                <w:szCs w:val="21"/>
                <w:lang w:bidi="ar"/>
              </w:rPr>
            </w:pPr>
            <w:r>
              <w:rPr>
                <w:rFonts w:hint="eastAsia" w:ascii="仿宋" w:hAnsi="仿宋" w:eastAsia="仿宋" w:cs="仿宋"/>
                <w:szCs w:val="21"/>
                <w:lang w:bidi="ar"/>
              </w:rPr>
              <w:t>1</w:t>
            </w:r>
          </w:p>
        </w:tc>
        <w:tc>
          <w:tcPr>
            <w:tcW w:w="37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红外热成像仪</w:t>
            </w:r>
          </w:p>
        </w:tc>
        <w:tc>
          <w:tcPr>
            <w:tcW w:w="211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台</w:t>
            </w:r>
          </w:p>
        </w:tc>
        <w:tc>
          <w:tcPr>
            <w:tcW w:w="191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1</w:t>
            </w:r>
          </w:p>
        </w:tc>
      </w:tr>
      <w:tr>
        <w:tblPrEx>
          <w:tblCellMar>
            <w:top w:w="0" w:type="dxa"/>
            <w:left w:w="108" w:type="dxa"/>
            <w:bottom w:w="0" w:type="dxa"/>
            <w:right w:w="108" w:type="dxa"/>
          </w:tblCellMar>
        </w:tblPrEx>
        <w:trPr>
          <w:trHeight w:val="284" w:hRule="atLeast"/>
        </w:trPr>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仿宋" w:hAnsi="仿宋" w:eastAsia="仿宋" w:cs="仿宋"/>
                <w:szCs w:val="21"/>
                <w:lang w:val="en-US" w:eastAsia="zh-CN" w:bidi="ar"/>
              </w:rPr>
            </w:pPr>
            <w:r>
              <w:rPr>
                <w:rFonts w:hint="eastAsia" w:ascii="仿宋" w:hAnsi="仿宋" w:eastAsia="仿宋" w:cs="仿宋"/>
                <w:szCs w:val="21"/>
                <w:lang w:val="en-US" w:eastAsia="zh-CN" w:bidi="ar"/>
              </w:rPr>
              <w:t>2</w:t>
            </w:r>
          </w:p>
        </w:tc>
        <w:tc>
          <w:tcPr>
            <w:tcW w:w="37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伸缩宽带绿篱机</w:t>
            </w:r>
          </w:p>
        </w:tc>
        <w:tc>
          <w:tcPr>
            <w:tcW w:w="211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台</w:t>
            </w:r>
          </w:p>
        </w:tc>
        <w:tc>
          <w:tcPr>
            <w:tcW w:w="191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2</w:t>
            </w:r>
          </w:p>
        </w:tc>
      </w:tr>
      <w:tr>
        <w:tblPrEx>
          <w:tblCellMar>
            <w:top w:w="0" w:type="dxa"/>
            <w:left w:w="108" w:type="dxa"/>
            <w:bottom w:w="0" w:type="dxa"/>
            <w:right w:w="108" w:type="dxa"/>
          </w:tblCellMar>
        </w:tblPrEx>
        <w:trPr>
          <w:trHeight w:val="284" w:hRule="atLeast"/>
        </w:trPr>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仿宋" w:hAnsi="仿宋" w:eastAsia="仿宋" w:cs="仿宋"/>
                <w:szCs w:val="21"/>
                <w:lang w:val="en-US" w:eastAsia="zh-CN" w:bidi="ar"/>
              </w:rPr>
            </w:pPr>
            <w:r>
              <w:rPr>
                <w:rFonts w:hint="eastAsia" w:ascii="仿宋" w:hAnsi="仿宋" w:eastAsia="仿宋" w:cs="仿宋"/>
                <w:szCs w:val="21"/>
                <w:lang w:val="en-US" w:eastAsia="zh-CN" w:bidi="ar"/>
              </w:rPr>
              <w:t>3</w:t>
            </w:r>
          </w:p>
        </w:tc>
        <w:tc>
          <w:tcPr>
            <w:tcW w:w="37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电动环卫清运车（加简易车篷）</w:t>
            </w:r>
          </w:p>
        </w:tc>
        <w:tc>
          <w:tcPr>
            <w:tcW w:w="211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辆</w:t>
            </w:r>
          </w:p>
        </w:tc>
        <w:tc>
          <w:tcPr>
            <w:tcW w:w="191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4</w:t>
            </w:r>
          </w:p>
        </w:tc>
      </w:tr>
      <w:tr>
        <w:tblPrEx>
          <w:tblCellMar>
            <w:top w:w="0" w:type="dxa"/>
            <w:left w:w="108" w:type="dxa"/>
            <w:bottom w:w="0" w:type="dxa"/>
            <w:right w:w="108" w:type="dxa"/>
          </w:tblCellMar>
        </w:tblPrEx>
        <w:trPr>
          <w:trHeight w:val="284" w:hRule="atLeast"/>
        </w:trPr>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仿宋" w:hAnsi="仿宋" w:eastAsia="仿宋" w:cs="仿宋"/>
                <w:szCs w:val="21"/>
                <w:lang w:val="en-US" w:eastAsia="zh-CN" w:bidi="ar"/>
              </w:rPr>
            </w:pPr>
            <w:r>
              <w:rPr>
                <w:rFonts w:hint="eastAsia" w:ascii="仿宋" w:hAnsi="仿宋" w:eastAsia="仿宋" w:cs="仿宋"/>
                <w:szCs w:val="21"/>
                <w:lang w:val="en-US" w:eastAsia="zh-CN" w:bidi="ar"/>
              </w:rPr>
              <w:t>4</w:t>
            </w:r>
          </w:p>
        </w:tc>
        <w:tc>
          <w:tcPr>
            <w:tcW w:w="37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充电式绿篱机</w:t>
            </w:r>
          </w:p>
        </w:tc>
        <w:tc>
          <w:tcPr>
            <w:tcW w:w="211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台</w:t>
            </w:r>
          </w:p>
        </w:tc>
        <w:tc>
          <w:tcPr>
            <w:tcW w:w="191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6</w:t>
            </w:r>
          </w:p>
        </w:tc>
      </w:tr>
      <w:tr>
        <w:tblPrEx>
          <w:tblCellMar>
            <w:top w:w="0" w:type="dxa"/>
            <w:left w:w="108" w:type="dxa"/>
            <w:bottom w:w="0" w:type="dxa"/>
            <w:right w:w="108" w:type="dxa"/>
          </w:tblCellMar>
        </w:tblPrEx>
        <w:trPr>
          <w:trHeight w:val="284" w:hRule="atLeast"/>
        </w:trPr>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Style w:val="13"/>
                <w:rFonts w:hint="eastAsia" w:ascii="仿宋" w:hAnsi="仿宋" w:eastAsia="仿宋" w:cs="仿宋"/>
                <w:b w:val="0"/>
                <w:bCs w:val="0"/>
                <w:sz w:val="21"/>
                <w:szCs w:val="21"/>
                <w:lang w:eastAsia="zh-CN" w:bidi="ar"/>
              </w:rPr>
            </w:pPr>
            <w:r>
              <w:rPr>
                <w:rStyle w:val="13"/>
                <w:rFonts w:hint="eastAsia" w:ascii="仿宋" w:hAnsi="仿宋" w:eastAsia="仿宋" w:cs="仿宋"/>
                <w:b w:val="0"/>
                <w:sz w:val="21"/>
                <w:szCs w:val="21"/>
                <w:lang w:val="en-US" w:eastAsia="zh-CN" w:bidi="ar"/>
              </w:rPr>
              <w:t>5</w:t>
            </w:r>
          </w:p>
        </w:tc>
        <w:tc>
          <w:tcPr>
            <w:tcW w:w="37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草坪修剪机</w:t>
            </w:r>
          </w:p>
        </w:tc>
        <w:tc>
          <w:tcPr>
            <w:tcW w:w="211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台</w:t>
            </w:r>
          </w:p>
        </w:tc>
        <w:tc>
          <w:tcPr>
            <w:tcW w:w="191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11</w:t>
            </w:r>
          </w:p>
        </w:tc>
      </w:tr>
      <w:tr>
        <w:tblPrEx>
          <w:tblCellMar>
            <w:top w:w="0" w:type="dxa"/>
            <w:left w:w="108" w:type="dxa"/>
            <w:bottom w:w="0" w:type="dxa"/>
            <w:right w:w="108" w:type="dxa"/>
          </w:tblCellMar>
        </w:tblPrEx>
        <w:trPr>
          <w:trHeight w:val="284" w:hRule="atLeast"/>
        </w:trPr>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Style w:val="13"/>
                <w:rFonts w:hint="eastAsia" w:ascii="仿宋" w:hAnsi="仿宋" w:eastAsia="仿宋" w:cs="仿宋"/>
                <w:b w:val="0"/>
                <w:bCs w:val="0"/>
                <w:sz w:val="21"/>
                <w:szCs w:val="21"/>
                <w:lang w:eastAsia="zh-CN" w:bidi="ar"/>
              </w:rPr>
            </w:pPr>
            <w:r>
              <w:rPr>
                <w:rStyle w:val="13"/>
                <w:rFonts w:hint="eastAsia" w:ascii="仿宋" w:hAnsi="仿宋" w:eastAsia="仿宋" w:cs="仿宋"/>
                <w:b w:val="0"/>
                <w:sz w:val="21"/>
                <w:szCs w:val="21"/>
                <w:lang w:val="en-US" w:eastAsia="zh-CN" w:bidi="ar"/>
              </w:rPr>
              <w:t>6</w:t>
            </w:r>
          </w:p>
        </w:tc>
        <w:tc>
          <w:tcPr>
            <w:tcW w:w="37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绿篱修剪机</w:t>
            </w:r>
          </w:p>
        </w:tc>
        <w:tc>
          <w:tcPr>
            <w:tcW w:w="211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台</w:t>
            </w:r>
          </w:p>
        </w:tc>
        <w:tc>
          <w:tcPr>
            <w:tcW w:w="191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2</w:t>
            </w:r>
          </w:p>
        </w:tc>
      </w:tr>
      <w:tr>
        <w:tblPrEx>
          <w:tblCellMar>
            <w:top w:w="0" w:type="dxa"/>
            <w:left w:w="108" w:type="dxa"/>
            <w:bottom w:w="0" w:type="dxa"/>
            <w:right w:w="108" w:type="dxa"/>
          </w:tblCellMar>
        </w:tblPrEx>
        <w:trPr>
          <w:trHeight w:val="284" w:hRule="atLeast"/>
        </w:trPr>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Style w:val="13"/>
                <w:rFonts w:hint="eastAsia" w:ascii="仿宋" w:hAnsi="仿宋" w:eastAsia="仿宋" w:cs="仿宋"/>
                <w:b w:val="0"/>
                <w:bCs w:val="0"/>
                <w:sz w:val="21"/>
                <w:szCs w:val="21"/>
                <w:lang w:eastAsia="zh-CN" w:bidi="ar"/>
              </w:rPr>
            </w:pPr>
            <w:r>
              <w:rPr>
                <w:rStyle w:val="13"/>
                <w:rFonts w:hint="eastAsia" w:ascii="仿宋" w:hAnsi="仿宋" w:eastAsia="仿宋" w:cs="仿宋"/>
                <w:b w:val="0"/>
                <w:sz w:val="21"/>
                <w:szCs w:val="21"/>
                <w:lang w:val="en-US" w:eastAsia="zh-CN" w:bidi="ar"/>
              </w:rPr>
              <w:t>7</w:t>
            </w:r>
          </w:p>
        </w:tc>
        <w:tc>
          <w:tcPr>
            <w:tcW w:w="37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割灌机</w:t>
            </w:r>
          </w:p>
        </w:tc>
        <w:tc>
          <w:tcPr>
            <w:tcW w:w="211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台</w:t>
            </w:r>
          </w:p>
        </w:tc>
        <w:tc>
          <w:tcPr>
            <w:tcW w:w="191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2</w:t>
            </w:r>
          </w:p>
        </w:tc>
      </w:tr>
      <w:tr>
        <w:tblPrEx>
          <w:tblCellMar>
            <w:top w:w="0" w:type="dxa"/>
            <w:left w:w="108" w:type="dxa"/>
            <w:bottom w:w="0" w:type="dxa"/>
            <w:right w:w="108" w:type="dxa"/>
          </w:tblCellMar>
        </w:tblPrEx>
        <w:trPr>
          <w:trHeight w:val="304" w:hRule="atLeast"/>
        </w:trPr>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Style w:val="13"/>
                <w:rFonts w:hint="eastAsia" w:ascii="仿宋" w:hAnsi="仿宋" w:eastAsia="仿宋" w:cs="仿宋"/>
                <w:b w:val="0"/>
                <w:bCs w:val="0"/>
                <w:sz w:val="21"/>
                <w:szCs w:val="21"/>
                <w:lang w:eastAsia="zh-CN" w:bidi="ar"/>
              </w:rPr>
            </w:pPr>
            <w:r>
              <w:rPr>
                <w:rStyle w:val="13"/>
                <w:rFonts w:hint="eastAsia" w:ascii="仿宋" w:hAnsi="仿宋" w:eastAsia="仿宋" w:cs="仿宋"/>
                <w:b w:val="0"/>
                <w:sz w:val="21"/>
                <w:szCs w:val="21"/>
                <w:lang w:val="en-US" w:eastAsia="zh-CN" w:bidi="ar"/>
              </w:rPr>
              <w:t>8</w:t>
            </w:r>
          </w:p>
        </w:tc>
        <w:tc>
          <w:tcPr>
            <w:tcW w:w="37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高枝油锯</w:t>
            </w:r>
          </w:p>
        </w:tc>
        <w:tc>
          <w:tcPr>
            <w:tcW w:w="211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台</w:t>
            </w:r>
          </w:p>
        </w:tc>
        <w:tc>
          <w:tcPr>
            <w:tcW w:w="191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2</w:t>
            </w:r>
          </w:p>
        </w:tc>
      </w:tr>
      <w:tr>
        <w:tblPrEx>
          <w:tblCellMar>
            <w:top w:w="0" w:type="dxa"/>
            <w:left w:w="108" w:type="dxa"/>
            <w:bottom w:w="0" w:type="dxa"/>
            <w:right w:w="108" w:type="dxa"/>
          </w:tblCellMar>
        </w:tblPrEx>
        <w:trPr>
          <w:trHeight w:val="259" w:hRule="atLeast"/>
        </w:trPr>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9</w:t>
            </w:r>
          </w:p>
        </w:tc>
        <w:tc>
          <w:tcPr>
            <w:tcW w:w="37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油锯</w:t>
            </w:r>
          </w:p>
        </w:tc>
        <w:tc>
          <w:tcPr>
            <w:tcW w:w="211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台</w:t>
            </w:r>
          </w:p>
        </w:tc>
        <w:tc>
          <w:tcPr>
            <w:tcW w:w="191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2</w:t>
            </w:r>
          </w:p>
        </w:tc>
      </w:tr>
      <w:tr>
        <w:tblPrEx>
          <w:tblCellMar>
            <w:top w:w="0" w:type="dxa"/>
            <w:left w:w="108" w:type="dxa"/>
            <w:bottom w:w="0" w:type="dxa"/>
            <w:right w:w="108" w:type="dxa"/>
          </w:tblCellMar>
        </w:tblPrEx>
        <w:trPr>
          <w:trHeight w:val="259" w:hRule="atLeast"/>
        </w:trPr>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Style w:val="13"/>
                <w:rFonts w:hint="default"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10</w:t>
            </w:r>
          </w:p>
        </w:tc>
        <w:tc>
          <w:tcPr>
            <w:tcW w:w="37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吹风机</w:t>
            </w:r>
          </w:p>
        </w:tc>
        <w:tc>
          <w:tcPr>
            <w:tcW w:w="211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台</w:t>
            </w:r>
          </w:p>
        </w:tc>
        <w:tc>
          <w:tcPr>
            <w:tcW w:w="191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4</w:t>
            </w:r>
          </w:p>
        </w:tc>
      </w:tr>
      <w:tr>
        <w:tblPrEx>
          <w:tblCellMar>
            <w:top w:w="0" w:type="dxa"/>
            <w:left w:w="108" w:type="dxa"/>
            <w:bottom w:w="0" w:type="dxa"/>
            <w:right w:w="108" w:type="dxa"/>
          </w:tblCellMar>
        </w:tblPrEx>
        <w:trPr>
          <w:trHeight w:val="259" w:hRule="atLeast"/>
        </w:trPr>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Style w:val="13"/>
                <w:rFonts w:hint="default"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11</w:t>
            </w:r>
          </w:p>
        </w:tc>
        <w:tc>
          <w:tcPr>
            <w:tcW w:w="37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电动三轮车</w:t>
            </w:r>
          </w:p>
        </w:tc>
        <w:tc>
          <w:tcPr>
            <w:tcW w:w="211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辆</w:t>
            </w:r>
          </w:p>
        </w:tc>
        <w:tc>
          <w:tcPr>
            <w:tcW w:w="191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2</w:t>
            </w:r>
          </w:p>
        </w:tc>
      </w:tr>
      <w:tr>
        <w:tblPrEx>
          <w:tblCellMar>
            <w:top w:w="0" w:type="dxa"/>
            <w:left w:w="108" w:type="dxa"/>
            <w:bottom w:w="0" w:type="dxa"/>
            <w:right w:w="108" w:type="dxa"/>
          </w:tblCellMar>
        </w:tblPrEx>
        <w:trPr>
          <w:trHeight w:val="284" w:hRule="atLeast"/>
        </w:trPr>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Style w:val="13"/>
                <w:rFonts w:hint="default" w:ascii="仿宋" w:hAnsi="仿宋" w:eastAsia="仿宋" w:cs="仿宋"/>
                <w:b w:val="0"/>
                <w:bCs w:val="0"/>
                <w:sz w:val="21"/>
                <w:szCs w:val="21"/>
                <w:lang w:val="en-US" w:eastAsia="zh-CN" w:bidi="ar"/>
              </w:rPr>
            </w:pPr>
            <w:r>
              <w:rPr>
                <w:rStyle w:val="13"/>
                <w:rFonts w:hint="eastAsia" w:ascii="仿宋" w:hAnsi="仿宋" w:eastAsia="仿宋" w:cs="仿宋"/>
                <w:b w:val="0"/>
                <w:bCs w:val="0"/>
                <w:sz w:val="21"/>
                <w:szCs w:val="21"/>
                <w:lang w:val="en-US" w:eastAsia="zh-CN" w:bidi="ar"/>
              </w:rPr>
              <w:t>12</w:t>
            </w:r>
          </w:p>
        </w:tc>
        <w:tc>
          <w:tcPr>
            <w:tcW w:w="37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自卸式垃圾清运车（电动三轮车）</w:t>
            </w:r>
          </w:p>
        </w:tc>
        <w:tc>
          <w:tcPr>
            <w:tcW w:w="211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辆</w:t>
            </w:r>
          </w:p>
        </w:tc>
        <w:tc>
          <w:tcPr>
            <w:tcW w:w="191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2</w:t>
            </w:r>
          </w:p>
        </w:tc>
      </w:tr>
      <w:tr>
        <w:tblPrEx>
          <w:tblCellMar>
            <w:top w:w="0" w:type="dxa"/>
            <w:left w:w="108" w:type="dxa"/>
            <w:bottom w:w="0" w:type="dxa"/>
            <w:right w:w="108" w:type="dxa"/>
          </w:tblCellMar>
        </w:tblPrEx>
        <w:trPr>
          <w:trHeight w:val="319" w:hRule="atLeast"/>
        </w:trPr>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Style w:val="13"/>
                <w:rFonts w:hint="default" w:ascii="仿宋" w:hAnsi="仿宋" w:eastAsia="仿宋" w:cs="仿宋"/>
                <w:b w:val="0"/>
                <w:bCs w:val="0"/>
                <w:sz w:val="21"/>
                <w:szCs w:val="21"/>
                <w:lang w:val="en-US" w:eastAsia="zh-CN" w:bidi="ar"/>
              </w:rPr>
            </w:pPr>
            <w:r>
              <w:rPr>
                <w:rStyle w:val="13"/>
                <w:rFonts w:hint="eastAsia" w:ascii="仿宋" w:hAnsi="仿宋" w:eastAsia="仿宋" w:cs="仿宋"/>
                <w:b w:val="0"/>
                <w:bCs w:val="0"/>
                <w:sz w:val="21"/>
                <w:szCs w:val="21"/>
                <w:lang w:val="en-US" w:eastAsia="zh-CN" w:bidi="ar"/>
              </w:rPr>
              <w:t>13</w:t>
            </w:r>
          </w:p>
        </w:tc>
        <w:tc>
          <w:tcPr>
            <w:tcW w:w="37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四轮巡逻车</w:t>
            </w:r>
          </w:p>
        </w:tc>
        <w:tc>
          <w:tcPr>
            <w:tcW w:w="211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辆</w:t>
            </w:r>
          </w:p>
        </w:tc>
        <w:tc>
          <w:tcPr>
            <w:tcW w:w="191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1</w:t>
            </w:r>
          </w:p>
        </w:tc>
      </w:tr>
      <w:tr>
        <w:tblPrEx>
          <w:tblCellMar>
            <w:top w:w="0" w:type="dxa"/>
            <w:left w:w="108" w:type="dxa"/>
            <w:bottom w:w="0" w:type="dxa"/>
            <w:right w:w="108" w:type="dxa"/>
          </w:tblCellMar>
        </w:tblPrEx>
        <w:trPr>
          <w:trHeight w:val="284" w:hRule="atLeast"/>
        </w:trPr>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Style w:val="13"/>
                <w:rFonts w:hint="default" w:ascii="仿宋" w:hAnsi="仿宋" w:eastAsia="仿宋" w:cs="仿宋"/>
                <w:b w:val="0"/>
                <w:bCs w:val="0"/>
                <w:sz w:val="21"/>
                <w:szCs w:val="21"/>
                <w:lang w:val="en-US" w:eastAsia="zh-CN" w:bidi="ar"/>
              </w:rPr>
            </w:pPr>
            <w:r>
              <w:rPr>
                <w:rStyle w:val="13"/>
                <w:rFonts w:hint="eastAsia" w:ascii="仿宋" w:hAnsi="仿宋" w:eastAsia="仿宋" w:cs="仿宋"/>
                <w:b w:val="0"/>
                <w:bCs w:val="0"/>
                <w:sz w:val="21"/>
                <w:szCs w:val="21"/>
                <w:lang w:val="en-US" w:eastAsia="zh-CN" w:bidi="ar"/>
              </w:rPr>
              <w:t>14</w:t>
            </w:r>
          </w:p>
        </w:tc>
        <w:tc>
          <w:tcPr>
            <w:tcW w:w="37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手枪钻</w:t>
            </w:r>
          </w:p>
        </w:tc>
        <w:tc>
          <w:tcPr>
            <w:tcW w:w="211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把</w:t>
            </w:r>
          </w:p>
        </w:tc>
        <w:tc>
          <w:tcPr>
            <w:tcW w:w="191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2</w:t>
            </w:r>
          </w:p>
        </w:tc>
      </w:tr>
      <w:tr>
        <w:tblPrEx>
          <w:tblCellMar>
            <w:top w:w="0" w:type="dxa"/>
            <w:left w:w="108" w:type="dxa"/>
            <w:bottom w:w="0" w:type="dxa"/>
            <w:right w:w="108" w:type="dxa"/>
          </w:tblCellMar>
        </w:tblPrEx>
        <w:trPr>
          <w:trHeight w:val="284" w:hRule="atLeast"/>
        </w:trPr>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Style w:val="13"/>
                <w:rFonts w:hint="default" w:ascii="仿宋" w:hAnsi="仿宋" w:eastAsia="仿宋" w:cs="仿宋"/>
                <w:b w:val="0"/>
                <w:bCs w:val="0"/>
                <w:sz w:val="21"/>
                <w:szCs w:val="21"/>
                <w:lang w:val="en-US" w:eastAsia="zh-CN" w:bidi="ar"/>
              </w:rPr>
            </w:pPr>
            <w:r>
              <w:rPr>
                <w:rStyle w:val="13"/>
                <w:rFonts w:hint="eastAsia" w:ascii="仿宋" w:hAnsi="仿宋" w:eastAsia="仿宋" w:cs="仿宋"/>
                <w:b w:val="0"/>
                <w:bCs w:val="0"/>
                <w:sz w:val="21"/>
                <w:szCs w:val="21"/>
                <w:lang w:val="en-US" w:eastAsia="zh-CN" w:bidi="ar"/>
              </w:rPr>
              <w:t>15</w:t>
            </w:r>
          </w:p>
        </w:tc>
        <w:tc>
          <w:tcPr>
            <w:tcW w:w="37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电锤</w:t>
            </w:r>
          </w:p>
        </w:tc>
        <w:tc>
          <w:tcPr>
            <w:tcW w:w="211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把</w:t>
            </w:r>
          </w:p>
        </w:tc>
        <w:tc>
          <w:tcPr>
            <w:tcW w:w="191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2</w:t>
            </w:r>
          </w:p>
        </w:tc>
      </w:tr>
      <w:tr>
        <w:tblPrEx>
          <w:tblCellMar>
            <w:top w:w="0" w:type="dxa"/>
            <w:left w:w="108" w:type="dxa"/>
            <w:bottom w:w="0" w:type="dxa"/>
            <w:right w:w="108" w:type="dxa"/>
          </w:tblCellMar>
        </w:tblPrEx>
        <w:trPr>
          <w:trHeight w:val="284" w:hRule="atLeast"/>
        </w:trPr>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Style w:val="13"/>
                <w:rFonts w:hint="default" w:ascii="仿宋" w:hAnsi="仿宋" w:eastAsia="仿宋" w:cs="仿宋"/>
                <w:b w:val="0"/>
                <w:bCs w:val="0"/>
                <w:sz w:val="21"/>
                <w:szCs w:val="21"/>
                <w:lang w:val="en-US" w:eastAsia="zh-CN" w:bidi="ar"/>
              </w:rPr>
            </w:pPr>
            <w:r>
              <w:rPr>
                <w:rStyle w:val="13"/>
                <w:rFonts w:hint="eastAsia" w:ascii="仿宋" w:hAnsi="仿宋" w:eastAsia="仿宋" w:cs="仿宋"/>
                <w:b w:val="0"/>
                <w:bCs w:val="0"/>
                <w:sz w:val="21"/>
                <w:szCs w:val="21"/>
                <w:lang w:val="en-US" w:eastAsia="zh-CN" w:bidi="ar"/>
              </w:rPr>
              <w:t>16</w:t>
            </w:r>
          </w:p>
        </w:tc>
        <w:tc>
          <w:tcPr>
            <w:tcW w:w="37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激光测距仪</w:t>
            </w:r>
          </w:p>
        </w:tc>
        <w:tc>
          <w:tcPr>
            <w:tcW w:w="211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个</w:t>
            </w:r>
          </w:p>
        </w:tc>
        <w:tc>
          <w:tcPr>
            <w:tcW w:w="191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1</w:t>
            </w:r>
          </w:p>
        </w:tc>
      </w:tr>
      <w:tr>
        <w:tblPrEx>
          <w:tblCellMar>
            <w:top w:w="0" w:type="dxa"/>
            <w:left w:w="108" w:type="dxa"/>
            <w:bottom w:w="0" w:type="dxa"/>
            <w:right w:w="108" w:type="dxa"/>
          </w:tblCellMar>
        </w:tblPrEx>
        <w:trPr>
          <w:trHeight w:val="284" w:hRule="atLeast"/>
        </w:trPr>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Style w:val="13"/>
                <w:rFonts w:hint="default" w:ascii="仿宋" w:hAnsi="仿宋" w:eastAsia="仿宋" w:cs="仿宋"/>
                <w:b w:val="0"/>
                <w:bCs w:val="0"/>
                <w:sz w:val="21"/>
                <w:szCs w:val="21"/>
                <w:lang w:val="en-US" w:eastAsia="zh-CN" w:bidi="ar"/>
              </w:rPr>
            </w:pPr>
            <w:r>
              <w:rPr>
                <w:rStyle w:val="13"/>
                <w:rFonts w:hint="eastAsia" w:ascii="仿宋" w:hAnsi="仿宋" w:eastAsia="仿宋" w:cs="仿宋"/>
                <w:b w:val="0"/>
                <w:bCs w:val="0"/>
                <w:sz w:val="21"/>
                <w:szCs w:val="21"/>
                <w:lang w:val="en-US" w:eastAsia="zh-CN" w:bidi="ar"/>
              </w:rPr>
              <w:t>17</w:t>
            </w:r>
          </w:p>
        </w:tc>
        <w:tc>
          <w:tcPr>
            <w:tcW w:w="37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Style w:val="13"/>
                <w:rFonts w:hint="default"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平板电脑</w:t>
            </w:r>
          </w:p>
        </w:tc>
        <w:tc>
          <w:tcPr>
            <w:tcW w:w="211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个</w:t>
            </w:r>
          </w:p>
        </w:tc>
        <w:tc>
          <w:tcPr>
            <w:tcW w:w="191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6</w:t>
            </w:r>
          </w:p>
        </w:tc>
      </w:tr>
      <w:tr>
        <w:tblPrEx>
          <w:tblCellMar>
            <w:top w:w="0" w:type="dxa"/>
            <w:left w:w="108" w:type="dxa"/>
            <w:bottom w:w="0" w:type="dxa"/>
            <w:right w:w="108" w:type="dxa"/>
          </w:tblCellMar>
        </w:tblPrEx>
        <w:trPr>
          <w:trHeight w:val="284" w:hRule="atLeast"/>
        </w:trPr>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Style w:val="13"/>
                <w:rFonts w:hint="default" w:ascii="仿宋" w:hAnsi="仿宋" w:eastAsia="仿宋" w:cs="仿宋"/>
                <w:b w:val="0"/>
                <w:bCs w:val="0"/>
                <w:sz w:val="21"/>
                <w:szCs w:val="21"/>
                <w:lang w:val="en-US" w:eastAsia="zh-CN" w:bidi="ar"/>
              </w:rPr>
            </w:pPr>
            <w:r>
              <w:rPr>
                <w:rStyle w:val="13"/>
                <w:rFonts w:hint="eastAsia" w:ascii="仿宋" w:hAnsi="仿宋" w:eastAsia="仿宋" w:cs="仿宋"/>
                <w:b w:val="0"/>
                <w:bCs w:val="0"/>
                <w:sz w:val="21"/>
                <w:szCs w:val="21"/>
                <w:lang w:val="en-US" w:eastAsia="zh-CN" w:bidi="ar"/>
              </w:rPr>
              <w:t>18</w:t>
            </w:r>
          </w:p>
        </w:tc>
        <w:tc>
          <w:tcPr>
            <w:tcW w:w="376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洗车机</w:t>
            </w:r>
          </w:p>
        </w:tc>
        <w:tc>
          <w:tcPr>
            <w:tcW w:w="211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台</w:t>
            </w:r>
          </w:p>
        </w:tc>
        <w:tc>
          <w:tcPr>
            <w:tcW w:w="191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1</w:t>
            </w:r>
          </w:p>
        </w:tc>
      </w:tr>
    </w:tbl>
    <w:p>
      <w:pPr>
        <w:spacing w:line="360" w:lineRule="auto"/>
        <w:ind w:firstLine="422" w:firstLineChars="200"/>
        <w:rPr>
          <w:rFonts w:hint="eastAsia" w:ascii="仿宋" w:hAnsi="仿宋" w:eastAsia="仿宋" w:cs="仿宋"/>
          <w:b/>
          <w:lang w:val="en-US" w:eastAsia="zh-CN"/>
        </w:rPr>
      </w:pPr>
    </w:p>
    <w:p>
      <w:pPr>
        <w:spacing w:line="360" w:lineRule="auto"/>
        <w:ind w:firstLine="422" w:firstLineChars="200"/>
        <w:rPr>
          <w:rFonts w:hint="eastAsia" w:ascii="仿宋" w:hAnsi="仿宋" w:eastAsia="仿宋" w:cs="仿宋"/>
          <w:b/>
          <w:lang w:val="en-US" w:eastAsia="zh-CN"/>
        </w:rPr>
      </w:pPr>
    </w:p>
    <w:p>
      <w:pPr>
        <w:spacing w:line="360" w:lineRule="auto"/>
        <w:ind w:firstLine="422" w:firstLineChars="200"/>
        <w:rPr>
          <w:rFonts w:hint="eastAsia" w:ascii="仿宋" w:hAnsi="仿宋" w:eastAsia="仿宋" w:cs="仿宋"/>
          <w:b/>
          <w:lang w:val="en-US" w:eastAsia="zh-CN"/>
        </w:rPr>
      </w:pPr>
    </w:p>
    <w:p>
      <w:pPr>
        <w:spacing w:line="360" w:lineRule="auto"/>
        <w:ind w:firstLine="422" w:firstLineChars="200"/>
        <w:rPr>
          <w:rFonts w:hint="eastAsia" w:ascii="仿宋" w:hAnsi="仿宋" w:eastAsia="仿宋" w:cs="仿宋"/>
          <w:b/>
          <w:lang w:val="en-US" w:eastAsia="zh-CN"/>
        </w:rPr>
      </w:pPr>
    </w:p>
    <w:p>
      <w:pPr>
        <w:spacing w:line="360" w:lineRule="auto"/>
        <w:ind w:firstLine="422" w:firstLineChars="200"/>
        <w:rPr>
          <w:rFonts w:hint="default" w:ascii="仿宋" w:hAnsi="仿宋" w:eastAsia="仿宋" w:cs="仿宋"/>
          <w:b/>
          <w:lang w:val="en-US" w:eastAsia="zh-CN"/>
        </w:rPr>
      </w:pPr>
      <w:r>
        <w:rPr>
          <w:rFonts w:hint="eastAsia" w:ascii="仿宋" w:hAnsi="仿宋" w:eastAsia="仿宋" w:cs="仿宋"/>
          <w:b/>
          <w:lang w:val="en-US" w:eastAsia="zh-CN"/>
        </w:rPr>
        <w:t>包2：主要技术参数：</w:t>
      </w:r>
    </w:p>
    <w:tbl>
      <w:tblPr>
        <w:tblStyle w:val="10"/>
        <w:tblW w:w="84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731"/>
        <w:gridCol w:w="5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adjustRightInd w:val="0"/>
              <w:snapToGrid w:val="0"/>
              <w:rPr>
                <w:rFonts w:hint="eastAsia" w:ascii="仿宋" w:hAnsi="仿宋" w:eastAsia="仿宋" w:cs="仿宋"/>
                <w:b/>
                <w:kern w:val="0"/>
                <w:sz w:val="20"/>
                <w:szCs w:val="20"/>
              </w:rPr>
            </w:pPr>
            <w:r>
              <w:rPr>
                <w:rFonts w:hint="eastAsia" w:ascii="仿宋" w:hAnsi="仿宋" w:eastAsia="仿宋" w:cs="仿宋"/>
                <w:b/>
                <w:kern w:val="0"/>
                <w:sz w:val="20"/>
                <w:szCs w:val="20"/>
              </w:rPr>
              <w:t>序号</w:t>
            </w:r>
          </w:p>
        </w:tc>
        <w:tc>
          <w:tcPr>
            <w:tcW w:w="1731" w:type="dxa"/>
          </w:tcPr>
          <w:p>
            <w:pPr>
              <w:adjustRightInd w:val="0"/>
              <w:snapToGrid w:val="0"/>
              <w:rPr>
                <w:rFonts w:hint="eastAsia" w:ascii="仿宋" w:hAnsi="仿宋" w:eastAsia="仿宋" w:cs="仿宋"/>
                <w:b/>
                <w:kern w:val="0"/>
                <w:sz w:val="20"/>
                <w:szCs w:val="20"/>
              </w:rPr>
            </w:pPr>
            <w:r>
              <w:rPr>
                <w:rFonts w:hint="eastAsia" w:ascii="仿宋" w:hAnsi="仿宋" w:eastAsia="仿宋" w:cs="仿宋"/>
                <w:b/>
                <w:kern w:val="0"/>
                <w:sz w:val="20"/>
                <w:szCs w:val="20"/>
                <w:lang w:val="en-US" w:eastAsia="zh-CN"/>
              </w:rPr>
              <w:t>品目</w:t>
            </w:r>
          </w:p>
        </w:tc>
        <w:tc>
          <w:tcPr>
            <w:tcW w:w="5994" w:type="dxa"/>
          </w:tcPr>
          <w:p>
            <w:pPr>
              <w:adjustRightInd w:val="0"/>
              <w:snapToGrid w:val="0"/>
              <w:rPr>
                <w:rFonts w:hint="eastAsia" w:ascii="仿宋" w:hAnsi="仿宋" w:eastAsia="仿宋" w:cs="仿宋"/>
                <w:b/>
                <w:kern w:val="0"/>
                <w:sz w:val="20"/>
                <w:szCs w:val="20"/>
              </w:rPr>
            </w:pPr>
            <w:r>
              <w:rPr>
                <w:rFonts w:hint="eastAsia" w:ascii="仿宋" w:hAnsi="仿宋" w:eastAsia="仿宋" w:cs="仿宋"/>
                <w:b/>
                <w:kern w:val="0"/>
                <w:sz w:val="20"/>
                <w:szCs w:val="20"/>
              </w:rPr>
              <w:t>技术参数与性能指标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09" w:type="dxa"/>
            <w:vAlign w:val="center"/>
          </w:tcPr>
          <w:p>
            <w:pPr>
              <w:adjustRightInd w:val="0"/>
              <w:snapToGrid w:val="0"/>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rPr>
              <w:t>1</w:t>
            </w:r>
          </w:p>
        </w:tc>
        <w:tc>
          <w:tcPr>
            <w:tcW w:w="1731" w:type="dxa"/>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红外热成像仪</w:t>
            </w:r>
          </w:p>
        </w:tc>
        <w:tc>
          <w:tcPr>
            <w:tcW w:w="5994" w:type="dxa"/>
            <w:vAlign w:val="top"/>
          </w:tcPr>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红外分辨率：≥320*240；IFOV：≥1.86mRad；视场角：≥34.1°*25.6°；聚焦距离: ≥46cm；聚焦方式：手动对焦；无线连接：有；兼容APP：有；可选软件：有；红外与可见光融合技术：有；连续融合模式：有；画中画：有；显示：≥3.5英寸（8.9cm横屏）触投屏，320*240LCD；单手操作；目标温度30度时热灵敏度≤0.04°C；最小跨度（手动模式）：约2.5°C；最小跨度（自动模式）：约5°C；帧频：约9HZ；激光指示：是；热灵敏度：≤0.04°C；内置数码相机（可见光）：≥500万像素；内部储存：≥4G内存；电池：锂电池，可充电；测量温度：-20°C至400°C；温度测量精度：±2°C；通过屏幕进行反射背景温度补偿及透射率修正：有；电池：锂电池，连续≥4小时以上；颜射报警：高温、低温、等温线；红外波长：7.5-14μm；中心点温度测量：有；尺寸：约26.7cm*10.1cm*14.5cm；重量：≤0.72KG；防护等级≥IP54；语言支持：简体中、繁体中文、英文、法文、德文、意大利文、日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09" w:type="dxa"/>
            <w:vAlign w:val="center"/>
          </w:tcPr>
          <w:p>
            <w:pPr>
              <w:adjustRightInd w:val="0"/>
              <w:snapToGrid w:val="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2</w:t>
            </w:r>
          </w:p>
        </w:tc>
        <w:tc>
          <w:tcPr>
            <w:tcW w:w="1731" w:type="dxa"/>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伸缩宽带绿篱机</w:t>
            </w:r>
          </w:p>
        </w:tc>
        <w:tc>
          <w:tcPr>
            <w:tcW w:w="5994" w:type="dxa"/>
            <w:vAlign w:val="top"/>
          </w:tcPr>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工作电压：≦36V，电池包容量：≧7.8Ah,净重：≦4.6kg，功率：≥1100W，转速：≧2150转/分，续航：≥6小时，充电时间：≦3小时，刀片长度：≧630mm，切割直径：≧35mm。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09" w:type="dxa"/>
            <w:vAlign w:val="center"/>
          </w:tcPr>
          <w:p>
            <w:pPr>
              <w:adjustRightInd w:val="0"/>
              <w:snapToGrid w:val="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3</w:t>
            </w:r>
          </w:p>
        </w:tc>
        <w:tc>
          <w:tcPr>
            <w:tcW w:w="1731" w:type="dxa"/>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电动环卫清运车（加简易车篷）</w:t>
            </w:r>
          </w:p>
        </w:tc>
        <w:tc>
          <w:tcPr>
            <w:tcW w:w="5994" w:type="dxa"/>
            <w:vAlign w:val="top"/>
          </w:tcPr>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箱体：容积≥500L，采用</w:t>
            </w:r>
            <w:r>
              <w:rPr>
                <w:rStyle w:val="13"/>
                <w:rFonts w:hint="eastAsia" w:ascii="仿宋" w:hAnsi="仿宋" w:eastAsia="仿宋" w:cs="仿宋"/>
                <w:b w:val="0"/>
                <w:bCs w:val="0"/>
                <w:color w:val="000000" w:themeColor="text1"/>
                <w:sz w:val="21"/>
                <w:szCs w:val="21"/>
                <w:lang w:val="en-US" w:eastAsia="zh-Hans" w:bidi="ar"/>
                <w14:textFill>
                  <w14:solidFill>
                    <w14:schemeClr w14:val="tx1"/>
                  </w14:solidFill>
                </w14:textFill>
              </w:rPr>
              <w:t>聚丙烯（PP）复合材料</w:t>
            </w: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一次性注塑成型，全封闭结构，可避免作业中垃圾滴漏飞扬；</w:t>
            </w:r>
          </w:p>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电池电机：</w:t>
            </w:r>
            <w:r>
              <w:rPr>
                <w:rStyle w:val="13"/>
                <w:rFonts w:hint="default" w:ascii="仿宋" w:hAnsi="仿宋" w:eastAsia="仿宋" w:cs="仿宋"/>
                <w:b w:val="0"/>
                <w:bCs w:val="0"/>
                <w:color w:val="000000" w:themeColor="text1"/>
                <w:sz w:val="21"/>
                <w:szCs w:val="21"/>
                <w:lang w:val="en-US" w:eastAsia="zh-Hans" w:bidi="ar"/>
                <w14:textFill>
                  <w14:solidFill>
                    <w14:schemeClr w14:val="tx1"/>
                  </w14:solidFill>
                </w14:textFill>
              </w:rPr>
              <w:t>免维护蓄电池组</w:t>
            </w:r>
            <w:r>
              <w:rPr>
                <w:rStyle w:val="13"/>
                <w:rFonts w:hint="default" w:ascii="仿宋" w:hAnsi="仿宋" w:eastAsia="仿宋" w:cs="仿宋"/>
                <w:b w:val="0"/>
                <w:bCs w:val="0"/>
                <w:color w:val="000000" w:themeColor="text1"/>
                <w:sz w:val="21"/>
                <w:szCs w:val="21"/>
                <w:lang w:val="en-US" w:eastAsia="zh-CN" w:bidi="ar"/>
                <w14:textFill>
                  <w14:solidFill>
                    <w14:schemeClr w14:val="tx1"/>
                  </w14:solidFill>
                </w14:textFill>
              </w:rPr>
              <w:t>60V  32Ah.电机≥1200W.</w:t>
            </w:r>
          </w:p>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整车工艺：酸洗</w:t>
            </w:r>
            <w:r>
              <w:rPr>
                <w:rStyle w:val="13"/>
                <w:rFonts w:hint="eastAsia" w:ascii="仿宋" w:hAnsi="仿宋" w:eastAsia="仿宋" w:cs="仿宋"/>
                <w:b w:val="0"/>
                <w:bCs w:val="0"/>
                <w:color w:val="000000" w:themeColor="text1"/>
                <w:sz w:val="21"/>
                <w:szCs w:val="21"/>
                <w:lang w:val="en-US" w:eastAsia="zh-Hans" w:bidi="ar"/>
                <w14:textFill>
                  <w14:solidFill>
                    <w14:schemeClr w14:val="tx1"/>
                  </w14:solidFill>
                </w14:textFill>
              </w:rPr>
              <w:t>陶化+阴极</w:t>
            </w: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电泳+</w:t>
            </w:r>
            <w:r>
              <w:rPr>
                <w:rStyle w:val="13"/>
                <w:rFonts w:hint="eastAsia" w:ascii="仿宋" w:hAnsi="仿宋" w:eastAsia="仿宋" w:cs="仿宋"/>
                <w:b w:val="0"/>
                <w:bCs w:val="0"/>
                <w:color w:val="000000" w:themeColor="text1"/>
                <w:sz w:val="21"/>
                <w:szCs w:val="21"/>
                <w:lang w:val="en-US" w:eastAsia="zh-Hans" w:bidi="ar"/>
                <w14:textFill>
                  <w14:solidFill>
                    <w14:schemeClr w14:val="tx1"/>
                  </w14:solidFill>
                </w14:textFill>
              </w:rPr>
              <w:t>高温智能</w:t>
            </w: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烤漆。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09" w:type="dxa"/>
            <w:vAlign w:val="center"/>
          </w:tcPr>
          <w:p>
            <w:pPr>
              <w:adjustRightInd w:val="0"/>
              <w:snapToGrid w:val="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4</w:t>
            </w:r>
          </w:p>
        </w:tc>
        <w:tc>
          <w:tcPr>
            <w:tcW w:w="1731" w:type="dxa"/>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充电式绿篱机</w:t>
            </w:r>
          </w:p>
        </w:tc>
        <w:tc>
          <w:tcPr>
            <w:tcW w:w="5994" w:type="dxa"/>
            <w:vAlign w:val="top"/>
          </w:tcPr>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电池：锂离子电池，功率：≧1.6kw电压：36v，刀片长度：≧750mm。刀片速度：≧2350rpm,电池容量：17.4AH，净重：≦4.0kg，持续续航时间：≧6小时，噪音≦70分贝，无刷无铁芯电机，无极调速，刀片sk51。切削直径≧35mm。充电时间：2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09" w:type="dxa"/>
            <w:vAlign w:val="center"/>
          </w:tcPr>
          <w:p>
            <w:pPr>
              <w:adjustRightInd w:val="0"/>
              <w:snapToGrid w:val="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5</w:t>
            </w:r>
          </w:p>
        </w:tc>
        <w:tc>
          <w:tcPr>
            <w:tcW w:w="1731" w:type="dxa"/>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草坪修剪机</w:t>
            </w:r>
          </w:p>
        </w:tc>
        <w:tc>
          <w:tcPr>
            <w:tcW w:w="5994" w:type="dxa"/>
            <w:vAlign w:val="top"/>
          </w:tcPr>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转速：≥3400r/min ；排量：≥163cc；功率：≥2.0kw</w:t>
            </w:r>
          </w:p>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净重：≤49kg；发动机性能：不低于本田GXV160；底壳材质：钢壳≥2mm,割副≥53cm；割草高度：20-80mm；集草袋容积：≥70L；驱动形式：手推。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09" w:type="dxa"/>
            <w:vAlign w:val="center"/>
          </w:tcPr>
          <w:p>
            <w:pPr>
              <w:adjustRightInd w:val="0"/>
              <w:snapToGrid w:val="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6</w:t>
            </w:r>
          </w:p>
        </w:tc>
        <w:tc>
          <w:tcPr>
            <w:tcW w:w="1731" w:type="dxa"/>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绿篱修剪机</w:t>
            </w:r>
          </w:p>
        </w:tc>
        <w:tc>
          <w:tcPr>
            <w:tcW w:w="5994" w:type="dxa"/>
            <w:vAlign w:val="top"/>
          </w:tcPr>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发动机排量：≥22.7cc；功率：≥0.7kw/1.0hp；整机质量：≤5.1kg；双刃刀片：≥750mm；刀齿间距：30mm；切割速度：≥5000/min；用于精准切割，配备高速切刀的专业工具，持久耐用的空气过滤系统，双边刀片，多功能旋转手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09" w:type="dxa"/>
            <w:vAlign w:val="center"/>
          </w:tcPr>
          <w:p>
            <w:pPr>
              <w:adjustRightInd w:val="0"/>
              <w:snapToGrid w:val="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7</w:t>
            </w:r>
          </w:p>
        </w:tc>
        <w:tc>
          <w:tcPr>
            <w:tcW w:w="1731" w:type="dxa"/>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割灌机</w:t>
            </w:r>
          </w:p>
        </w:tc>
        <w:tc>
          <w:tcPr>
            <w:tcW w:w="5994" w:type="dxa"/>
            <w:vAlign w:val="top"/>
          </w:tcPr>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二冲程汽油机排量：≥36.3cc；功率：≥1.3kw/1.8hp；把手：双把手；空滤芯：纸质；杆径及：≤杆径28mm；传动轴：10齿花健；质量：≤7.9kg。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09" w:type="dxa"/>
            <w:vAlign w:val="center"/>
          </w:tcPr>
          <w:p>
            <w:pPr>
              <w:adjustRightInd w:val="0"/>
              <w:snapToGrid w:val="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8</w:t>
            </w:r>
          </w:p>
        </w:tc>
        <w:tc>
          <w:tcPr>
            <w:tcW w:w="1731" w:type="dxa"/>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高枝油锯</w:t>
            </w:r>
          </w:p>
        </w:tc>
        <w:tc>
          <w:tcPr>
            <w:tcW w:w="5994" w:type="dxa"/>
            <w:vAlign w:val="top"/>
          </w:tcPr>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二冲程汽油机排量：≥25.4cc；功率：≥0.8kw；整机总长：≥3.5米；导板尺寸：≥0.3米；铝管管径：≥26mm；有效切割直径：≥0.3米；传动轴：二节伸缩式；质量：≤8.3kg；</w:t>
            </w:r>
          </w:p>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适合比较高和粗的树枝的锯割，其作业效率高于高能耗内燃汽油型高枝锯，比人工割灌提高功效10倍以上。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09" w:type="dxa"/>
            <w:vAlign w:val="center"/>
          </w:tcPr>
          <w:p>
            <w:pPr>
              <w:adjustRightInd w:val="0"/>
              <w:snapToGrid w:val="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9</w:t>
            </w:r>
          </w:p>
        </w:tc>
        <w:tc>
          <w:tcPr>
            <w:tcW w:w="1731" w:type="dxa"/>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油锯</w:t>
            </w:r>
          </w:p>
        </w:tc>
        <w:tc>
          <w:tcPr>
            <w:tcW w:w="5994" w:type="dxa"/>
            <w:vAlign w:val="top"/>
          </w:tcPr>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二冲程汽油机排量：≥42.9cc；功率：≥2.1kw/2.9HP；导板长度：≥18寸；燃油箱容积：≥0.48L；机油箱容积：≥0.33L；</w:t>
            </w:r>
          </w:p>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质量：≤4.8kg。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09" w:type="dxa"/>
            <w:vAlign w:val="center"/>
          </w:tcPr>
          <w:p>
            <w:pPr>
              <w:adjustRightInd w:val="0"/>
              <w:snapToGrid w:val="0"/>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731" w:type="dxa"/>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吹风机</w:t>
            </w:r>
          </w:p>
        </w:tc>
        <w:tc>
          <w:tcPr>
            <w:tcW w:w="5994" w:type="dxa"/>
            <w:vAlign w:val="top"/>
          </w:tcPr>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二冲程汽油机排量：≥63.3cc；功率：≥2.7kw；油箱容积：≥1.8L；质量：≤9.6kg。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09" w:type="dxa"/>
            <w:vAlign w:val="center"/>
          </w:tcPr>
          <w:p>
            <w:pPr>
              <w:adjustRightInd w:val="0"/>
              <w:snapToGrid w:val="0"/>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11</w:t>
            </w:r>
          </w:p>
        </w:tc>
        <w:tc>
          <w:tcPr>
            <w:tcW w:w="1731" w:type="dxa"/>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电动三轮车</w:t>
            </w:r>
          </w:p>
        </w:tc>
        <w:tc>
          <w:tcPr>
            <w:tcW w:w="5994" w:type="dxa"/>
            <w:vAlign w:val="top"/>
          </w:tcPr>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配套电机：≥1300W；转向方式：方向把；轮距：≤820mm；轴距：≤1810mm；轮胎规格：前3.50-12后3.50-12；车箱尺寸：三开门/1300mm*2000m；总质量：403kg；装备质量：165kg；额定载质量：175kg；电池：≥72V/45A</w:t>
            </w:r>
          </w:p>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09" w:type="dxa"/>
            <w:vAlign w:val="center"/>
          </w:tcPr>
          <w:p>
            <w:pPr>
              <w:adjustRightInd w:val="0"/>
              <w:snapToGrid w:val="0"/>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12</w:t>
            </w:r>
          </w:p>
        </w:tc>
        <w:tc>
          <w:tcPr>
            <w:tcW w:w="1731" w:type="dxa"/>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自卸式垃圾清运车（电动三轮车）</w:t>
            </w:r>
          </w:p>
        </w:tc>
        <w:tc>
          <w:tcPr>
            <w:tcW w:w="5994" w:type="dxa"/>
          </w:tcPr>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类型：电动三轮车；动力：电动/蓄电池；后车厢尺寸≧1.8米*1.2米；车身总长≧3.2米；电机功率≧1500瓦；电池型号≧72V/45A；颜色：车身红色；三开门；驾驶室带雨棚，挡风玻璃带雨刷；10、带液压自卸功能≧500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09" w:type="dxa"/>
            <w:vAlign w:val="center"/>
          </w:tcPr>
          <w:p>
            <w:pPr>
              <w:adjustRightInd w:val="0"/>
              <w:snapToGrid w:val="0"/>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13</w:t>
            </w:r>
          </w:p>
        </w:tc>
        <w:tc>
          <w:tcPr>
            <w:tcW w:w="1731" w:type="dxa"/>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四轮巡逻车</w:t>
            </w:r>
          </w:p>
        </w:tc>
        <w:tc>
          <w:tcPr>
            <w:tcW w:w="5994" w:type="dxa"/>
            <w:vAlign w:val="top"/>
          </w:tcPr>
          <w:p>
            <w:pPr>
              <w:adjustRightInd w:val="0"/>
              <w:snapToGrid w:val="0"/>
              <w:jc w:val="both"/>
              <w:rPr>
                <w:rStyle w:val="13"/>
                <w:rFonts w:hint="default"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充电式，封闭式，钢制车架，冲压铁板承载车身，前麦弗逊式独立悬挂后整体式后桥＋多片钢板弹簧，筒式液压减震器，整车电泳磷化防锈处理，汽车烤漆，按采购方要求进行涂装。双排4座，座椅：高回弹海绵＋布面料，锂电池，≥72V，≥100Ah，智能充电孔（具有自动修复功能和充满断电保护功能），前进挡，停车挡，倒车档，电动雨刷，轴距≥2100cm，交流电机，电机功率：≥4000W，方向盘式，续航里程：≥100公里，公路专用真空轮胎≥155-65R13，铝合金轮毂，四轮液压刹车，离地间隙≥23cm，最大行驶速度≤40km/h；按采购人要求进行涂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09" w:type="dxa"/>
            <w:vAlign w:val="center"/>
          </w:tcPr>
          <w:p>
            <w:pPr>
              <w:adjustRightInd w:val="0"/>
              <w:snapToGrid w:val="0"/>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14</w:t>
            </w:r>
          </w:p>
        </w:tc>
        <w:tc>
          <w:tcPr>
            <w:tcW w:w="1731" w:type="dxa"/>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手枪钻</w:t>
            </w:r>
          </w:p>
        </w:tc>
        <w:tc>
          <w:tcPr>
            <w:tcW w:w="5994" w:type="dxa"/>
            <w:vAlign w:val="top"/>
          </w:tcPr>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≧18V 2.0Ah，无刷马达，金属夹头，最大扭矩50牛顿米，充电式，双电池。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09" w:type="dxa"/>
            <w:vAlign w:val="center"/>
          </w:tcPr>
          <w:p>
            <w:pPr>
              <w:adjustRightInd w:val="0"/>
              <w:snapToGrid w:val="0"/>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15</w:t>
            </w:r>
          </w:p>
        </w:tc>
        <w:tc>
          <w:tcPr>
            <w:tcW w:w="1731" w:type="dxa"/>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电锤</w:t>
            </w:r>
          </w:p>
        </w:tc>
        <w:tc>
          <w:tcPr>
            <w:tcW w:w="5994" w:type="dxa"/>
            <w:vAlign w:val="top"/>
          </w:tcPr>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锤击力：2.0焦耳，锤击率：0-5100次/分钟，≧18V 5.0A，充电式，双电池。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09" w:type="dxa"/>
            <w:vAlign w:val="center"/>
          </w:tcPr>
          <w:p>
            <w:pPr>
              <w:adjustRightInd w:val="0"/>
              <w:snapToGrid w:val="0"/>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16</w:t>
            </w:r>
          </w:p>
        </w:tc>
        <w:tc>
          <w:tcPr>
            <w:tcW w:w="1731" w:type="dxa"/>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激光测距仪</w:t>
            </w:r>
          </w:p>
        </w:tc>
        <w:tc>
          <w:tcPr>
            <w:tcW w:w="5994" w:type="dxa"/>
            <w:vAlign w:val="top"/>
          </w:tcPr>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测量范围：0.05-50米，测量精度：±1.5mm，长度、面积、体积、倾角、墙面积，蓝牙连接，水平尺，卷尺模式，亮度调节，IP65。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09" w:type="dxa"/>
            <w:vAlign w:val="center"/>
          </w:tcPr>
          <w:p>
            <w:pPr>
              <w:adjustRightInd w:val="0"/>
              <w:snapToGrid w:val="0"/>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17</w:t>
            </w:r>
          </w:p>
        </w:tc>
        <w:tc>
          <w:tcPr>
            <w:tcW w:w="1731" w:type="dxa"/>
            <w:vAlign w:val="center"/>
          </w:tcPr>
          <w:p>
            <w:pPr>
              <w:adjustRightInd w:val="0"/>
              <w:snapToGrid w:val="0"/>
              <w:jc w:val="center"/>
              <w:rPr>
                <w:rStyle w:val="13"/>
                <w:rFonts w:hint="default"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平板电脑</w:t>
            </w:r>
          </w:p>
        </w:tc>
        <w:tc>
          <w:tcPr>
            <w:tcW w:w="5994" w:type="dxa"/>
            <w:vAlign w:val="top"/>
          </w:tcPr>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网络连接：WiFi/WLAN；CPU性能:不低于骁龙680；屏幕类型：IPS；前置摄像头像素：≧500W;后置摄像头像素：≧500W;</w:t>
            </w:r>
          </w:p>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支持IPv6；运行内存：≧8GB；系统性能：不低于HarmonyOS；</w:t>
            </w:r>
          </w:p>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内存容量：≧128GB；分辨率：2000*1200；</w:t>
            </w:r>
          </w:p>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屏幕尺寸：≧10.4英寸。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09" w:type="dxa"/>
            <w:vAlign w:val="center"/>
          </w:tcPr>
          <w:p>
            <w:pPr>
              <w:adjustRightInd w:val="0"/>
              <w:snapToGrid w:val="0"/>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18</w:t>
            </w:r>
          </w:p>
        </w:tc>
        <w:tc>
          <w:tcPr>
            <w:tcW w:w="1731" w:type="dxa"/>
            <w:vAlign w:val="center"/>
          </w:tcPr>
          <w:p>
            <w:pPr>
              <w:adjustRightInd w:val="0"/>
              <w:snapToGrid w:val="0"/>
              <w:jc w:val="cente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洗车机</w:t>
            </w:r>
          </w:p>
        </w:tc>
        <w:tc>
          <w:tcPr>
            <w:tcW w:w="5994" w:type="dxa"/>
            <w:vAlign w:val="top"/>
          </w:tcPr>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商用洗车机，外观类型：卧式；额定功率：3kW；电压：220V；</w:t>
            </w:r>
          </w:p>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额定压力：0一170bar；额定流量：≥15L/min；电机类型：感应电机；机芯材质：铜；泵体：多柱塞泵；出水管长度：≥20m；</w:t>
            </w:r>
          </w:p>
          <w:p>
            <w:pPr>
              <w:adjustRightInd w:val="0"/>
              <w:snapToGrid w:val="0"/>
              <w:jc w:val="both"/>
              <w:rPr>
                <w:rStyle w:val="13"/>
                <w:rFonts w:hint="default"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机身防水等级：≥IPX5。</w:t>
            </w:r>
          </w:p>
        </w:tc>
      </w:tr>
    </w:tbl>
    <w:p>
      <w:pPr>
        <w:spacing w:line="360" w:lineRule="auto"/>
        <w:ind w:firstLine="422" w:firstLineChars="200"/>
        <w:rPr>
          <w:rFonts w:hint="eastAsia" w:ascii="仿宋" w:hAnsi="仿宋" w:eastAsia="仿宋" w:cs="仿宋"/>
          <w:b/>
        </w:rPr>
      </w:pPr>
    </w:p>
    <w:p>
      <w:pPr>
        <w:spacing w:line="360" w:lineRule="auto"/>
        <w:ind w:firstLine="422" w:firstLineChars="200"/>
        <w:rPr>
          <w:rFonts w:hint="eastAsia" w:ascii="仿宋" w:hAnsi="仿宋" w:eastAsia="仿宋" w:cs="仿宋"/>
          <w:b/>
        </w:rPr>
      </w:pPr>
      <w:r>
        <w:rPr>
          <w:rFonts w:hint="eastAsia" w:ascii="仿宋" w:hAnsi="仿宋" w:eastAsia="仿宋" w:cs="仿宋"/>
          <w:b/>
        </w:rPr>
        <w:t>四、主要商务要求</w:t>
      </w:r>
    </w:p>
    <w:tbl>
      <w:tblPr>
        <w:tblStyle w:val="10"/>
        <w:tblpPr w:leftFromText="180" w:rightFromText="180" w:vertAnchor="text" w:horzAnchor="page" w:tblpX="1906" w:tblpY="29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3"/>
        <w:gridCol w:w="6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3" w:type="dxa"/>
            <w:vAlign w:val="center"/>
          </w:tcPr>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服务期限</w:t>
            </w:r>
          </w:p>
        </w:tc>
        <w:tc>
          <w:tcPr>
            <w:tcW w:w="6625" w:type="dxa"/>
            <w:vAlign w:val="center"/>
          </w:tcPr>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以合同约定为准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3" w:type="dxa"/>
            <w:vAlign w:val="center"/>
          </w:tcPr>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标的提供地点</w:t>
            </w:r>
          </w:p>
        </w:tc>
        <w:tc>
          <w:tcPr>
            <w:tcW w:w="6625" w:type="dxa"/>
            <w:vAlign w:val="center"/>
          </w:tcPr>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西华大学指定地点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dxa"/>
            <w:vAlign w:val="center"/>
          </w:tcPr>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付款方式</w:t>
            </w:r>
          </w:p>
        </w:tc>
        <w:tc>
          <w:tcPr>
            <w:tcW w:w="6625" w:type="dxa"/>
          </w:tcPr>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 xml:space="preserve">合同签订后支付合同金额的 20%，验收合格后支付合同金 </w:t>
            </w:r>
          </w:p>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额 80%，同时需要开具相应增值税发票。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dxa"/>
            <w:vAlign w:val="center"/>
          </w:tcPr>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验收要求</w:t>
            </w:r>
          </w:p>
        </w:tc>
        <w:tc>
          <w:tcPr>
            <w:tcW w:w="6625" w:type="dxa"/>
          </w:tcPr>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1.验收地点及时间：由采购人指定。</w:t>
            </w:r>
          </w:p>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2.验收时，双方必须同时在场，中标人所提供的产品不符合合同内容规定的，采购人有权拒绝验收。中标人应及时按本合同内容规定和采购人要求免费进行整改，直至验收合格，方视为中标人按本合同规定完成服务。验收合格的，由双方共同签署《验收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dxa"/>
            <w:vAlign w:val="center"/>
          </w:tcPr>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其他</w:t>
            </w:r>
          </w:p>
        </w:tc>
        <w:tc>
          <w:tcPr>
            <w:tcW w:w="6625" w:type="dxa"/>
          </w:tcPr>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服务要求:</w:t>
            </w:r>
          </w:p>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 xml:space="preserve">1.中标人须开通5×8小时热线电话及7×24小时客服人员电话，接受采购人的电话技术咨询和故障反馈。中标人应在48小时内提供现场服务。 </w:t>
            </w:r>
          </w:p>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2.中标人必须提供培训服务：培训内容包括系统使用培训。</w:t>
            </w:r>
          </w:p>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3.售后服务：1年。质保期内，中标人应对设备进行免费维护。</w:t>
            </w:r>
          </w:p>
        </w:tc>
      </w:tr>
    </w:tbl>
    <w:p>
      <w:pPr>
        <w:spacing w:line="360" w:lineRule="auto"/>
        <w:ind w:firstLine="422" w:firstLineChars="200"/>
        <w:rPr>
          <w:rFonts w:hint="eastAsia" w:ascii="仿宋" w:hAnsi="仿宋" w:eastAsia="仿宋" w:cs="仿宋"/>
          <w:b/>
        </w:rPr>
      </w:pPr>
    </w:p>
    <w:p>
      <w:pPr>
        <w:spacing w:line="360" w:lineRule="auto"/>
        <w:ind w:firstLine="422" w:firstLineChars="200"/>
        <w:rPr>
          <w:rFonts w:hint="eastAsia" w:ascii="仿宋" w:hAnsi="仿宋" w:eastAsia="仿宋" w:cs="仿宋"/>
          <w:b/>
        </w:rPr>
      </w:pPr>
      <w:r>
        <w:rPr>
          <w:rFonts w:hint="eastAsia" w:ascii="仿宋" w:hAnsi="仿宋" w:eastAsia="仿宋" w:cs="仿宋"/>
          <w:b/>
        </w:rPr>
        <w:t>五、评审方法及分值</w:t>
      </w:r>
    </w:p>
    <w:p>
      <w:pPr>
        <w:spacing w:line="360" w:lineRule="auto"/>
        <w:ind w:firstLine="422" w:firstLineChars="200"/>
        <w:rPr>
          <w:rFonts w:hint="eastAsia" w:ascii="仿宋" w:hAnsi="仿宋" w:eastAsia="仿宋" w:cs="仿宋"/>
          <w:b/>
        </w:rPr>
      </w:pPr>
      <w:r>
        <w:rPr>
          <w:rFonts w:hint="eastAsia" w:ascii="仿宋" w:hAnsi="仿宋" w:eastAsia="仿宋" w:cs="仿宋"/>
          <w:b/>
        </w:rPr>
        <w:t>评审方法：综合评分法</w:t>
      </w:r>
    </w:p>
    <w:tbl>
      <w:tblPr>
        <w:tblStyle w:val="9"/>
        <w:tblW w:w="7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814"/>
        <w:gridCol w:w="2901"/>
        <w:gridCol w:w="1470"/>
        <w:gridCol w:w="1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4"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after="0"/>
              <w:jc w:val="center"/>
              <w:rPr>
                <w:rFonts w:hint="eastAsia" w:ascii="仿宋" w:hAnsi="仿宋" w:eastAsia="仿宋" w:cs="仿宋"/>
                <w:sz w:val="18"/>
                <w:szCs w:val="18"/>
              </w:rPr>
            </w:pPr>
            <w:r>
              <w:rPr>
                <w:rFonts w:hint="eastAsia" w:ascii="仿宋" w:hAnsi="仿宋" w:eastAsia="仿宋" w:cs="仿宋"/>
                <w:sz w:val="18"/>
                <w:szCs w:val="18"/>
              </w:rPr>
              <w:t>包</w:t>
            </w:r>
          </w:p>
        </w:tc>
        <w:tc>
          <w:tcPr>
            <w:tcW w:w="814"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after="0"/>
              <w:jc w:val="center"/>
              <w:rPr>
                <w:rFonts w:hint="eastAsia" w:ascii="仿宋" w:hAnsi="仿宋" w:eastAsia="仿宋" w:cs="仿宋"/>
                <w:sz w:val="18"/>
                <w:szCs w:val="18"/>
              </w:rPr>
            </w:pPr>
            <w:r>
              <w:rPr>
                <w:rFonts w:hint="eastAsia" w:ascii="仿宋" w:hAnsi="仿宋" w:eastAsia="仿宋" w:cs="仿宋"/>
                <w:sz w:val="18"/>
                <w:szCs w:val="18"/>
              </w:rPr>
              <w:t>序号</w:t>
            </w:r>
          </w:p>
        </w:tc>
        <w:tc>
          <w:tcPr>
            <w:tcW w:w="2901"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after="0"/>
              <w:jc w:val="center"/>
              <w:rPr>
                <w:rFonts w:hint="eastAsia" w:ascii="仿宋" w:hAnsi="仿宋" w:eastAsia="仿宋" w:cs="仿宋"/>
                <w:sz w:val="18"/>
                <w:szCs w:val="18"/>
              </w:rPr>
            </w:pPr>
            <w:r>
              <w:rPr>
                <w:rFonts w:hint="eastAsia" w:ascii="仿宋" w:hAnsi="仿宋" w:eastAsia="仿宋" w:cs="仿宋"/>
                <w:sz w:val="18"/>
                <w:szCs w:val="18"/>
              </w:rPr>
              <w:t>评分因素</w:t>
            </w:r>
          </w:p>
        </w:tc>
        <w:tc>
          <w:tcPr>
            <w:tcW w:w="1470"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after="0"/>
              <w:jc w:val="center"/>
              <w:rPr>
                <w:rFonts w:hint="eastAsia" w:ascii="仿宋" w:hAnsi="仿宋" w:eastAsia="仿宋" w:cs="仿宋"/>
                <w:sz w:val="18"/>
                <w:szCs w:val="18"/>
              </w:rPr>
            </w:pPr>
            <w:r>
              <w:rPr>
                <w:rFonts w:hint="eastAsia" w:ascii="仿宋" w:hAnsi="仿宋" w:eastAsia="仿宋" w:cs="仿宋"/>
                <w:sz w:val="18"/>
                <w:szCs w:val="18"/>
              </w:rPr>
              <w:t>分值</w:t>
            </w:r>
          </w:p>
        </w:tc>
        <w:tc>
          <w:tcPr>
            <w:tcW w:w="1299"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after="0"/>
              <w:jc w:val="center"/>
              <w:rPr>
                <w:rFonts w:hint="eastAsia" w:ascii="仿宋" w:hAnsi="仿宋" w:eastAsia="仿宋" w:cs="仿宋"/>
                <w:sz w:val="18"/>
                <w:szCs w:val="18"/>
              </w:rPr>
            </w:pPr>
            <w:r>
              <w:rPr>
                <w:rFonts w:hint="eastAsia" w:ascii="仿宋" w:hAnsi="仿宋" w:eastAsia="仿宋" w:cs="仿宋"/>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4" w:type="dxa"/>
            <w:vMerge w:val="restart"/>
            <w:tcBorders>
              <w:top w:val="single" w:color="auto" w:sz="4" w:space="0"/>
              <w:left w:val="single" w:color="auto" w:sz="4" w:space="0"/>
              <w:right w:val="single" w:color="auto" w:sz="4" w:space="0"/>
            </w:tcBorders>
            <w:vAlign w:val="center"/>
          </w:tcPr>
          <w:p>
            <w:pPr>
              <w:pStyle w:val="2"/>
              <w:adjustRightInd w:val="0"/>
              <w:snapToGrid w:val="0"/>
              <w:spacing w:after="0"/>
              <w:jc w:val="center"/>
              <w:rPr>
                <w:rFonts w:hint="eastAsia" w:ascii="仿宋" w:hAnsi="仿宋" w:eastAsia="仿宋" w:cs="仿宋"/>
                <w:sz w:val="18"/>
                <w:szCs w:val="18"/>
                <w:lang w:eastAsia="zh-CN"/>
              </w:rPr>
            </w:pPr>
            <w:r>
              <w:rPr>
                <w:rFonts w:hint="eastAsia" w:ascii="仿宋" w:hAnsi="仿宋" w:eastAsia="仿宋" w:cs="仿宋"/>
                <w:sz w:val="18"/>
                <w:szCs w:val="18"/>
                <w:lang w:val="en-US" w:eastAsia="zh-CN"/>
              </w:rPr>
              <w:t>1</w:t>
            </w:r>
          </w:p>
        </w:tc>
        <w:tc>
          <w:tcPr>
            <w:tcW w:w="814"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after="0"/>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w:t>
            </w:r>
          </w:p>
        </w:tc>
        <w:tc>
          <w:tcPr>
            <w:tcW w:w="2901"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after="0"/>
              <w:jc w:val="center"/>
              <w:rPr>
                <w:rFonts w:hint="default" w:ascii="仿宋" w:hAnsi="仿宋" w:eastAsia="仿宋" w:cs="仿宋"/>
                <w:sz w:val="18"/>
                <w:szCs w:val="18"/>
                <w:lang w:val="en-US" w:eastAsia="zh-CN"/>
              </w:rPr>
            </w:pPr>
            <w:r>
              <w:rPr>
                <w:rFonts w:hint="eastAsia" w:ascii="仿宋" w:hAnsi="仿宋" w:eastAsia="仿宋" w:cs="仿宋"/>
                <w:sz w:val="18"/>
                <w:szCs w:val="18"/>
              </w:rPr>
              <w:t>报价</w:t>
            </w:r>
            <w:r>
              <w:rPr>
                <w:rFonts w:hint="eastAsia" w:ascii="仿宋" w:hAnsi="仿宋" w:eastAsia="仿宋" w:cs="仿宋"/>
                <w:sz w:val="18"/>
                <w:szCs w:val="18"/>
                <w:lang w:val="en-US" w:eastAsia="zh-CN"/>
              </w:rPr>
              <w:t>4</w:t>
            </w:r>
            <w:r>
              <w:rPr>
                <w:rFonts w:hint="eastAsia" w:ascii="仿宋" w:hAnsi="仿宋" w:eastAsia="仿宋" w:cs="仿宋"/>
                <w:sz w:val="18"/>
                <w:szCs w:val="18"/>
              </w:rPr>
              <w:t>0%</w:t>
            </w:r>
          </w:p>
        </w:tc>
        <w:tc>
          <w:tcPr>
            <w:tcW w:w="1470"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after="0"/>
              <w:jc w:val="center"/>
              <w:rPr>
                <w:rFonts w:hint="eastAsia" w:ascii="仿宋" w:hAnsi="仿宋" w:eastAsia="仿宋" w:cs="仿宋"/>
                <w:sz w:val="18"/>
                <w:szCs w:val="18"/>
              </w:rPr>
            </w:pPr>
            <w:r>
              <w:rPr>
                <w:rFonts w:hint="eastAsia" w:ascii="仿宋" w:hAnsi="仿宋" w:eastAsia="仿宋" w:cs="仿宋"/>
                <w:sz w:val="18"/>
                <w:szCs w:val="18"/>
                <w:lang w:val="en-US" w:eastAsia="zh-CN"/>
              </w:rPr>
              <w:t>4</w:t>
            </w:r>
            <w:r>
              <w:rPr>
                <w:rFonts w:hint="eastAsia" w:ascii="仿宋" w:hAnsi="仿宋" w:eastAsia="仿宋" w:cs="仿宋"/>
                <w:sz w:val="18"/>
                <w:szCs w:val="18"/>
              </w:rPr>
              <w:t>0分</w:t>
            </w:r>
          </w:p>
        </w:tc>
        <w:tc>
          <w:tcPr>
            <w:tcW w:w="129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4" w:type="dxa"/>
            <w:vMerge w:val="continue"/>
            <w:tcBorders>
              <w:left w:val="single" w:color="auto" w:sz="4" w:space="0"/>
              <w:right w:val="single" w:color="auto" w:sz="4" w:space="0"/>
            </w:tcBorders>
            <w:vAlign w:val="center"/>
          </w:tcPr>
          <w:p>
            <w:pPr>
              <w:pStyle w:val="2"/>
              <w:adjustRightInd w:val="0"/>
              <w:snapToGrid w:val="0"/>
              <w:spacing w:after="0"/>
              <w:jc w:val="center"/>
              <w:rPr>
                <w:rFonts w:hint="eastAsia" w:ascii="仿宋" w:hAnsi="仿宋" w:eastAsia="仿宋" w:cs="仿宋"/>
                <w:sz w:val="18"/>
                <w:szCs w:val="18"/>
              </w:rPr>
            </w:pPr>
          </w:p>
        </w:tc>
        <w:tc>
          <w:tcPr>
            <w:tcW w:w="814"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after="0"/>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2</w:t>
            </w:r>
          </w:p>
        </w:tc>
        <w:tc>
          <w:tcPr>
            <w:tcW w:w="2901"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after="0"/>
              <w:jc w:val="center"/>
              <w:rPr>
                <w:rFonts w:hint="eastAsia" w:ascii="仿宋" w:hAnsi="仿宋" w:eastAsia="仿宋" w:cs="仿宋"/>
                <w:sz w:val="18"/>
                <w:szCs w:val="18"/>
                <w:lang w:eastAsia="zh-CN"/>
              </w:rPr>
            </w:pPr>
            <w:r>
              <w:rPr>
                <w:rFonts w:hint="eastAsia" w:ascii="仿宋" w:hAnsi="仿宋" w:eastAsia="仿宋" w:cs="仿宋"/>
                <w:sz w:val="18"/>
                <w:szCs w:val="18"/>
              </w:rPr>
              <w:t>技术指标和配置</w:t>
            </w:r>
            <w:r>
              <w:rPr>
                <w:rFonts w:hint="eastAsia" w:ascii="仿宋" w:hAnsi="仿宋" w:eastAsia="仿宋" w:cs="仿宋"/>
                <w:sz w:val="18"/>
                <w:szCs w:val="18"/>
                <w:lang w:val="en-US" w:eastAsia="zh-CN"/>
              </w:rPr>
              <w:t>40</w:t>
            </w:r>
            <w:r>
              <w:rPr>
                <w:rFonts w:hint="eastAsia" w:ascii="仿宋" w:hAnsi="仿宋" w:eastAsia="仿宋" w:cs="仿宋"/>
                <w:sz w:val="18"/>
                <w:szCs w:val="18"/>
              </w:rPr>
              <w:t>%</w:t>
            </w:r>
          </w:p>
        </w:tc>
        <w:tc>
          <w:tcPr>
            <w:tcW w:w="1470"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after="0"/>
              <w:jc w:val="center"/>
              <w:rPr>
                <w:rFonts w:hint="eastAsia" w:ascii="仿宋" w:hAnsi="仿宋" w:eastAsia="仿宋" w:cs="仿宋"/>
                <w:sz w:val="18"/>
                <w:szCs w:val="18"/>
              </w:rPr>
            </w:pPr>
            <w:r>
              <w:rPr>
                <w:rFonts w:hint="eastAsia" w:ascii="仿宋" w:hAnsi="仿宋" w:eastAsia="仿宋" w:cs="仿宋"/>
                <w:sz w:val="18"/>
                <w:szCs w:val="18"/>
                <w:lang w:val="en-US" w:eastAsia="zh-CN"/>
              </w:rPr>
              <w:t>4</w:t>
            </w:r>
            <w:r>
              <w:rPr>
                <w:rFonts w:hint="eastAsia" w:ascii="仿宋" w:hAnsi="仿宋" w:eastAsia="仿宋" w:cs="仿宋"/>
                <w:sz w:val="18"/>
                <w:szCs w:val="18"/>
              </w:rPr>
              <w:t>0分</w:t>
            </w:r>
          </w:p>
        </w:tc>
        <w:tc>
          <w:tcPr>
            <w:tcW w:w="129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技术评分因素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4" w:type="dxa"/>
            <w:vMerge w:val="continue"/>
            <w:tcBorders>
              <w:left w:val="single" w:color="auto" w:sz="4" w:space="0"/>
              <w:right w:val="single" w:color="auto" w:sz="4" w:space="0"/>
            </w:tcBorders>
            <w:vAlign w:val="center"/>
          </w:tcPr>
          <w:p>
            <w:pPr>
              <w:pStyle w:val="2"/>
              <w:adjustRightInd w:val="0"/>
              <w:snapToGrid w:val="0"/>
              <w:spacing w:after="0"/>
              <w:jc w:val="center"/>
              <w:rPr>
                <w:rFonts w:hint="eastAsia" w:ascii="仿宋" w:hAnsi="仿宋" w:eastAsia="仿宋" w:cs="仿宋"/>
                <w:sz w:val="18"/>
                <w:szCs w:val="18"/>
              </w:rPr>
            </w:pPr>
          </w:p>
        </w:tc>
        <w:tc>
          <w:tcPr>
            <w:tcW w:w="814"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after="0"/>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3</w:t>
            </w:r>
          </w:p>
        </w:tc>
        <w:tc>
          <w:tcPr>
            <w:tcW w:w="2901"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after="0"/>
              <w:jc w:val="center"/>
              <w:rPr>
                <w:rFonts w:hint="eastAsia" w:ascii="仿宋" w:hAnsi="仿宋" w:eastAsia="仿宋" w:cs="仿宋"/>
                <w:sz w:val="18"/>
                <w:szCs w:val="18"/>
              </w:rPr>
            </w:pPr>
            <w:r>
              <w:rPr>
                <w:rFonts w:hint="eastAsia" w:ascii="仿宋" w:hAnsi="仿宋" w:eastAsia="仿宋" w:cs="仿宋"/>
                <w:sz w:val="18"/>
                <w:szCs w:val="18"/>
              </w:rPr>
              <w:t>服务方案</w:t>
            </w:r>
            <w:r>
              <w:rPr>
                <w:rFonts w:hint="eastAsia" w:ascii="仿宋" w:hAnsi="仿宋" w:eastAsia="仿宋" w:cs="仿宋"/>
                <w:sz w:val="18"/>
                <w:szCs w:val="18"/>
                <w:lang w:val="en-US" w:eastAsia="zh-CN"/>
              </w:rPr>
              <w:t>10</w:t>
            </w:r>
            <w:r>
              <w:rPr>
                <w:rFonts w:hint="eastAsia" w:ascii="仿宋" w:hAnsi="仿宋" w:eastAsia="仿宋" w:cs="仿宋"/>
                <w:sz w:val="18"/>
                <w:szCs w:val="18"/>
              </w:rPr>
              <w:t>%</w:t>
            </w:r>
          </w:p>
        </w:tc>
        <w:tc>
          <w:tcPr>
            <w:tcW w:w="1470"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after="0"/>
              <w:jc w:val="center"/>
              <w:rPr>
                <w:rFonts w:hint="eastAsia" w:ascii="仿宋" w:hAnsi="仿宋" w:eastAsia="仿宋" w:cs="仿宋"/>
                <w:sz w:val="18"/>
                <w:szCs w:val="18"/>
              </w:rPr>
            </w:pPr>
            <w:r>
              <w:rPr>
                <w:rFonts w:hint="eastAsia" w:ascii="仿宋" w:hAnsi="仿宋" w:eastAsia="仿宋" w:cs="仿宋"/>
                <w:sz w:val="18"/>
                <w:szCs w:val="18"/>
                <w:lang w:val="en-US" w:eastAsia="zh-CN"/>
              </w:rPr>
              <w:t>10</w:t>
            </w:r>
            <w:r>
              <w:rPr>
                <w:rFonts w:hint="eastAsia" w:ascii="仿宋" w:hAnsi="仿宋" w:eastAsia="仿宋" w:cs="仿宋"/>
                <w:sz w:val="18"/>
                <w:szCs w:val="18"/>
              </w:rPr>
              <w:t>分</w:t>
            </w:r>
          </w:p>
        </w:tc>
        <w:tc>
          <w:tcPr>
            <w:tcW w:w="129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技术评分因素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4" w:type="dxa"/>
            <w:vMerge w:val="continue"/>
            <w:tcBorders>
              <w:left w:val="single" w:color="auto" w:sz="4" w:space="0"/>
              <w:right w:val="single" w:color="auto" w:sz="4" w:space="0"/>
            </w:tcBorders>
            <w:vAlign w:val="center"/>
          </w:tcPr>
          <w:p>
            <w:pPr>
              <w:pStyle w:val="2"/>
              <w:adjustRightInd w:val="0"/>
              <w:snapToGrid w:val="0"/>
              <w:spacing w:after="0"/>
              <w:jc w:val="center"/>
              <w:rPr>
                <w:rFonts w:hint="eastAsia" w:ascii="仿宋" w:hAnsi="仿宋" w:eastAsia="仿宋" w:cs="仿宋"/>
                <w:sz w:val="18"/>
                <w:szCs w:val="18"/>
              </w:rPr>
            </w:pPr>
          </w:p>
        </w:tc>
        <w:tc>
          <w:tcPr>
            <w:tcW w:w="814"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after="0"/>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4</w:t>
            </w:r>
          </w:p>
        </w:tc>
        <w:tc>
          <w:tcPr>
            <w:tcW w:w="2901"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after="0"/>
              <w:jc w:val="center"/>
              <w:rPr>
                <w:rFonts w:hint="eastAsia" w:ascii="仿宋" w:hAnsi="仿宋" w:eastAsia="仿宋" w:cs="仿宋"/>
                <w:sz w:val="18"/>
                <w:szCs w:val="18"/>
              </w:rPr>
            </w:pPr>
            <w:r>
              <w:rPr>
                <w:rFonts w:hint="eastAsia" w:ascii="仿宋" w:hAnsi="仿宋" w:eastAsia="仿宋" w:cs="仿宋"/>
                <w:sz w:val="18"/>
                <w:szCs w:val="18"/>
                <w:lang w:val="en-US" w:eastAsia="zh-CN"/>
              </w:rPr>
              <w:t>售后</w:t>
            </w:r>
            <w:r>
              <w:rPr>
                <w:rFonts w:hint="eastAsia" w:ascii="仿宋" w:hAnsi="仿宋" w:eastAsia="仿宋" w:cs="仿宋"/>
                <w:sz w:val="18"/>
                <w:szCs w:val="18"/>
              </w:rPr>
              <w:t>服务保障</w:t>
            </w:r>
            <w:r>
              <w:rPr>
                <w:rFonts w:hint="eastAsia" w:ascii="仿宋" w:hAnsi="仿宋" w:eastAsia="仿宋" w:cs="仿宋"/>
                <w:sz w:val="18"/>
                <w:szCs w:val="18"/>
                <w:lang w:val="en-US" w:eastAsia="zh-CN"/>
              </w:rPr>
              <w:t>5</w:t>
            </w:r>
            <w:r>
              <w:rPr>
                <w:rFonts w:hint="eastAsia" w:ascii="仿宋" w:hAnsi="仿宋" w:eastAsia="仿宋" w:cs="仿宋"/>
                <w:sz w:val="18"/>
                <w:szCs w:val="18"/>
              </w:rPr>
              <w:t>%</w:t>
            </w:r>
          </w:p>
        </w:tc>
        <w:tc>
          <w:tcPr>
            <w:tcW w:w="1470"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after="0"/>
              <w:jc w:val="center"/>
              <w:rPr>
                <w:rFonts w:hint="eastAsia" w:ascii="仿宋" w:hAnsi="仿宋" w:eastAsia="仿宋" w:cs="仿宋"/>
                <w:sz w:val="18"/>
                <w:szCs w:val="18"/>
              </w:rPr>
            </w:pPr>
            <w:r>
              <w:rPr>
                <w:rFonts w:hint="eastAsia" w:ascii="仿宋" w:hAnsi="仿宋" w:eastAsia="仿宋" w:cs="仿宋"/>
                <w:sz w:val="18"/>
                <w:szCs w:val="18"/>
                <w:lang w:val="en-US" w:eastAsia="zh-CN"/>
              </w:rPr>
              <w:t>5</w:t>
            </w:r>
            <w:r>
              <w:rPr>
                <w:rFonts w:hint="eastAsia" w:ascii="仿宋" w:hAnsi="仿宋" w:eastAsia="仿宋" w:cs="仿宋"/>
                <w:sz w:val="18"/>
                <w:szCs w:val="18"/>
              </w:rPr>
              <w:t>分</w:t>
            </w:r>
          </w:p>
        </w:tc>
        <w:tc>
          <w:tcPr>
            <w:tcW w:w="129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技术评分因素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4" w:type="dxa"/>
            <w:vMerge w:val="continue"/>
            <w:tcBorders>
              <w:left w:val="single" w:color="auto" w:sz="4" w:space="0"/>
              <w:right w:val="single" w:color="auto" w:sz="4" w:space="0"/>
            </w:tcBorders>
            <w:vAlign w:val="center"/>
          </w:tcPr>
          <w:p>
            <w:pPr>
              <w:pStyle w:val="2"/>
              <w:adjustRightInd w:val="0"/>
              <w:snapToGrid w:val="0"/>
              <w:spacing w:after="0"/>
              <w:jc w:val="center"/>
              <w:rPr>
                <w:rFonts w:hint="eastAsia" w:ascii="仿宋" w:hAnsi="仿宋" w:eastAsia="仿宋" w:cs="仿宋"/>
                <w:sz w:val="18"/>
                <w:szCs w:val="18"/>
              </w:rPr>
            </w:pPr>
          </w:p>
        </w:tc>
        <w:tc>
          <w:tcPr>
            <w:tcW w:w="814"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after="0"/>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5</w:t>
            </w:r>
          </w:p>
        </w:tc>
        <w:tc>
          <w:tcPr>
            <w:tcW w:w="2901"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after="0"/>
              <w:jc w:val="center"/>
              <w:rPr>
                <w:rFonts w:hint="eastAsia" w:ascii="仿宋" w:hAnsi="仿宋" w:eastAsia="仿宋" w:cs="仿宋"/>
                <w:sz w:val="18"/>
                <w:szCs w:val="18"/>
              </w:rPr>
            </w:pPr>
            <w:r>
              <w:rPr>
                <w:rFonts w:hint="eastAsia" w:ascii="仿宋" w:hAnsi="仿宋" w:eastAsia="仿宋" w:cs="仿宋"/>
                <w:sz w:val="18"/>
                <w:szCs w:val="18"/>
              </w:rPr>
              <w:t>履约能力</w:t>
            </w:r>
            <w:r>
              <w:rPr>
                <w:rFonts w:hint="eastAsia" w:ascii="仿宋" w:hAnsi="仿宋" w:eastAsia="仿宋" w:cs="仿宋"/>
                <w:sz w:val="18"/>
                <w:szCs w:val="18"/>
                <w:lang w:val="en-US" w:eastAsia="zh-CN"/>
              </w:rPr>
              <w:t>5</w:t>
            </w:r>
            <w:r>
              <w:rPr>
                <w:rFonts w:hint="eastAsia" w:ascii="仿宋" w:hAnsi="仿宋" w:eastAsia="仿宋" w:cs="仿宋"/>
                <w:sz w:val="18"/>
                <w:szCs w:val="18"/>
              </w:rPr>
              <w:t>%</w:t>
            </w:r>
          </w:p>
        </w:tc>
        <w:tc>
          <w:tcPr>
            <w:tcW w:w="1470"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after="0"/>
              <w:jc w:val="center"/>
              <w:rPr>
                <w:rFonts w:hint="eastAsia" w:ascii="仿宋" w:hAnsi="仿宋" w:eastAsia="仿宋" w:cs="仿宋"/>
                <w:sz w:val="18"/>
                <w:szCs w:val="18"/>
              </w:rPr>
            </w:pPr>
            <w:r>
              <w:rPr>
                <w:rFonts w:hint="eastAsia" w:ascii="仿宋" w:hAnsi="仿宋" w:eastAsia="仿宋" w:cs="仿宋"/>
                <w:sz w:val="18"/>
                <w:szCs w:val="18"/>
                <w:lang w:val="en-US" w:eastAsia="zh-CN"/>
              </w:rPr>
              <w:t>5</w:t>
            </w:r>
            <w:r>
              <w:rPr>
                <w:rFonts w:hint="eastAsia" w:ascii="仿宋" w:hAnsi="仿宋" w:eastAsia="仿宋" w:cs="仿宋"/>
                <w:sz w:val="18"/>
                <w:szCs w:val="18"/>
              </w:rPr>
              <w:t>分</w:t>
            </w:r>
          </w:p>
        </w:tc>
        <w:tc>
          <w:tcPr>
            <w:tcW w:w="129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技术评分因素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4" w:type="dxa"/>
            <w:vMerge w:val="restart"/>
            <w:tcBorders>
              <w:left w:val="single" w:color="auto" w:sz="4" w:space="0"/>
              <w:right w:val="single" w:color="auto" w:sz="4" w:space="0"/>
            </w:tcBorders>
            <w:vAlign w:val="center"/>
          </w:tcPr>
          <w:p>
            <w:pPr>
              <w:pStyle w:val="2"/>
              <w:adjustRightInd w:val="0"/>
              <w:snapToGrid w:val="0"/>
              <w:spacing w:after="0"/>
              <w:jc w:val="center"/>
              <w:rPr>
                <w:rFonts w:hint="eastAsia" w:ascii="仿宋" w:hAnsi="仿宋" w:eastAsia="仿宋" w:cs="仿宋"/>
                <w:sz w:val="18"/>
                <w:szCs w:val="18"/>
              </w:rPr>
            </w:pPr>
            <w:r>
              <w:rPr>
                <w:rFonts w:hint="eastAsia" w:ascii="仿宋" w:hAnsi="仿宋" w:eastAsia="仿宋" w:cs="仿宋"/>
                <w:sz w:val="18"/>
                <w:szCs w:val="18"/>
              </w:rPr>
              <w:t>2</w:t>
            </w:r>
          </w:p>
        </w:tc>
        <w:tc>
          <w:tcPr>
            <w:tcW w:w="814"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after="0"/>
              <w:jc w:val="center"/>
              <w:rPr>
                <w:rFonts w:hint="eastAsia" w:ascii="仿宋" w:hAnsi="仿宋" w:eastAsia="仿宋" w:cs="仿宋"/>
                <w:sz w:val="18"/>
                <w:szCs w:val="18"/>
              </w:rPr>
            </w:pPr>
            <w:r>
              <w:rPr>
                <w:rFonts w:hint="eastAsia" w:ascii="仿宋" w:hAnsi="仿宋" w:eastAsia="仿宋" w:cs="仿宋"/>
                <w:sz w:val="18"/>
                <w:szCs w:val="18"/>
              </w:rPr>
              <w:t>1</w:t>
            </w:r>
          </w:p>
        </w:tc>
        <w:tc>
          <w:tcPr>
            <w:tcW w:w="2901"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after="0"/>
              <w:jc w:val="center"/>
              <w:rPr>
                <w:rFonts w:hint="eastAsia" w:ascii="仿宋" w:hAnsi="仿宋" w:eastAsia="仿宋" w:cs="仿宋"/>
                <w:sz w:val="18"/>
                <w:szCs w:val="18"/>
              </w:rPr>
            </w:pPr>
            <w:r>
              <w:rPr>
                <w:rFonts w:hint="eastAsia" w:ascii="仿宋" w:hAnsi="仿宋" w:eastAsia="仿宋" w:cs="仿宋"/>
                <w:sz w:val="18"/>
                <w:szCs w:val="18"/>
              </w:rPr>
              <w:t>报价</w:t>
            </w:r>
            <w:r>
              <w:rPr>
                <w:rFonts w:hint="eastAsia" w:ascii="仿宋" w:hAnsi="仿宋" w:eastAsia="仿宋" w:cs="仿宋"/>
                <w:sz w:val="18"/>
                <w:szCs w:val="18"/>
                <w:lang w:val="en-US" w:eastAsia="zh-CN"/>
              </w:rPr>
              <w:t>4</w:t>
            </w:r>
            <w:r>
              <w:rPr>
                <w:rFonts w:hint="eastAsia" w:ascii="仿宋" w:hAnsi="仿宋" w:eastAsia="仿宋" w:cs="仿宋"/>
                <w:sz w:val="18"/>
                <w:szCs w:val="18"/>
              </w:rPr>
              <w:t>0%</w:t>
            </w:r>
          </w:p>
        </w:tc>
        <w:tc>
          <w:tcPr>
            <w:tcW w:w="1470"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after="0"/>
              <w:jc w:val="center"/>
              <w:rPr>
                <w:rFonts w:hint="eastAsia" w:ascii="仿宋" w:hAnsi="仿宋" w:eastAsia="仿宋" w:cs="仿宋"/>
                <w:sz w:val="18"/>
                <w:szCs w:val="18"/>
              </w:rPr>
            </w:pPr>
            <w:r>
              <w:rPr>
                <w:rFonts w:hint="eastAsia" w:ascii="仿宋" w:hAnsi="仿宋" w:eastAsia="仿宋" w:cs="仿宋"/>
                <w:sz w:val="18"/>
                <w:szCs w:val="18"/>
                <w:lang w:val="en-US" w:eastAsia="zh-CN"/>
              </w:rPr>
              <w:t>4</w:t>
            </w:r>
            <w:r>
              <w:rPr>
                <w:rFonts w:hint="eastAsia" w:ascii="仿宋" w:hAnsi="仿宋" w:eastAsia="仿宋" w:cs="仿宋"/>
                <w:sz w:val="18"/>
                <w:szCs w:val="18"/>
              </w:rPr>
              <w:t>0分</w:t>
            </w:r>
          </w:p>
        </w:tc>
        <w:tc>
          <w:tcPr>
            <w:tcW w:w="129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仿宋" w:hAnsi="仿宋" w:eastAsia="仿宋" w:cs="仿宋"/>
                <w:sz w:val="18"/>
                <w:szCs w:val="18"/>
              </w:rPr>
            </w:pPr>
            <w:r>
              <w:rPr>
                <w:rFonts w:hint="eastAsia" w:ascii="仿宋" w:hAnsi="仿宋" w:eastAsia="仿宋" w:cs="仿宋"/>
                <w:sz w:val="18"/>
                <w:szCs w:val="18"/>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4" w:type="dxa"/>
            <w:vMerge w:val="continue"/>
            <w:tcBorders>
              <w:left w:val="single" w:color="auto" w:sz="4" w:space="0"/>
              <w:right w:val="single" w:color="auto" w:sz="4" w:space="0"/>
            </w:tcBorders>
            <w:vAlign w:val="center"/>
          </w:tcPr>
          <w:p>
            <w:pPr>
              <w:pStyle w:val="2"/>
              <w:adjustRightInd w:val="0"/>
              <w:snapToGrid w:val="0"/>
              <w:spacing w:after="0"/>
              <w:jc w:val="center"/>
              <w:rPr>
                <w:rFonts w:hint="eastAsia" w:ascii="仿宋" w:hAnsi="仿宋" w:eastAsia="仿宋" w:cs="仿宋"/>
                <w:sz w:val="18"/>
                <w:szCs w:val="18"/>
              </w:rPr>
            </w:pPr>
          </w:p>
        </w:tc>
        <w:tc>
          <w:tcPr>
            <w:tcW w:w="814"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after="0"/>
              <w:jc w:val="center"/>
              <w:rPr>
                <w:rFonts w:hint="eastAsia" w:ascii="仿宋" w:hAnsi="仿宋" w:eastAsia="仿宋" w:cs="仿宋"/>
                <w:sz w:val="18"/>
                <w:szCs w:val="18"/>
              </w:rPr>
            </w:pPr>
            <w:r>
              <w:rPr>
                <w:rFonts w:hint="eastAsia" w:ascii="仿宋" w:hAnsi="仿宋" w:eastAsia="仿宋" w:cs="仿宋"/>
                <w:sz w:val="18"/>
                <w:szCs w:val="18"/>
              </w:rPr>
              <w:t>2</w:t>
            </w:r>
          </w:p>
        </w:tc>
        <w:tc>
          <w:tcPr>
            <w:tcW w:w="2901"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after="0"/>
              <w:jc w:val="center"/>
              <w:rPr>
                <w:rFonts w:hint="eastAsia" w:ascii="仿宋" w:hAnsi="仿宋" w:eastAsia="仿宋" w:cs="仿宋"/>
                <w:sz w:val="18"/>
                <w:szCs w:val="18"/>
              </w:rPr>
            </w:pPr>
            <w:r>
              <w:rPr>
                <w:rFonts w:hint="eastAsia" w:ascii="仿宋" w:hAnsi="仿宋" w:eastAsia="仿宋" w:cs="仿宋"/>
                <w:sz w:val="18"/>
                <w:szCs w:val="18"/>
              </w:rPr>
              <w:t>技术指标和配置</w:t>
            </w:r>
            <w:r>
              <w:rPr>
                <w:rFonts w:hint="eastAsia" w:ascii="仿宋" w:hAnsi="仿宋" w:eastAsia="仿宋" w:cs="仿宋"/>
                <w:sz w:val="18"/>
                <w:szCs w:val="18"/>
                <w:lang w:val="en-US" w:eastAsia="zh-CN"/>
              </w:rPr>
              <w:t>40</w:t>
            </w:r>
            <w:r>
              <w:rPr>
                <w:rFonts w:hint="eastAsia" w:ascii="仿宋" w:hAnsi="仿宋" w:eastAsia="仿宋" w:cs="仿宋"/>
                <w:sz w:val="18"/>
                <w:szCs w:val="18"/>
              </w:rPr>
              <w:t>%</w:t>
            </w:r>
          </w:p>
        </w:tc>
        <w:tc>
          <w:tcPr>
            <w:tcW w:w="1470"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after="0"/>
              <w:jc w:val="center"/>
              <w:rPr>
                <w:rFonts w:hint="eastAsia" w:ascii="仿宋" w:hAnsi="仿宋" w:eastAsia="仿宋" w:cs="仿宋"/>
                <w:sz w:val="18"/>
                <w:szCs w:val="18"/>
              </w:rPr>
            </w:pPr>
            <w:r>
              <w:rPr>
                <w:rFonts w:hint="eastAsia" w:ascii="仿宋" w:hAnsi="仿宋" w:eastAsia="仿宋" w:cs="仿宋"/>
                <w:sz w:val="18"/>
                <w:szCs w:val="18"/>
                <w:lang w:val="en-US" w:eastAsia="zh-CN"/>
              </w:rPr>
              <w:t>4</w:t>
            </w:r>
            <w:r>
              <w:rPr>
                <w:rFonts w:hint="eastAsia" w:ascii="仿宋" w:hAnsi="仿宋" w:eastAsia="仿宋" w:cs="仿宋"/>
                <w:sz w:val="18"/>
                <w:szCs w:val="18"/>
              </w:rPr>
              <w:t>0分</w:t>
            </w:r>
          </w:p>
        </w:tc>
        <w:tc>
          <w:tcPr>
            <w:tcW w:w="129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仿宋" w:hAnsi="仿宋" w:eastAsia="仿宋" w:cs="仿宋"/>
                <w:sz w:val="18"/>
                <w:szCs w:val="18"/>
              </w:rPr>
            </w:pPr>
            <w:r>
              <w:rPr>
                <w:rFonts w:hint="eastAsia" w:ascii="仿宋" w:hAnsi="仿宋" w:eastAsia="仿宋" w:cs="仿宋"/>
                <w:sz w:val="18"/>
                <w:szCs w:val="18"/>
              </w:rPr>
              <w:t>技术评分因素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4" w:type="dxa"/>
            <w:vMerge w:val="continue"/>
            <w:tcBorders>
              <w:left w:val="single" w:color="auto" w:sz="4" w:space="0"/>
              <w:right w:val="single" w:color="auto" w:sz="4" w:space="0"/>
            </w:tcBorders>
            <w:vAlign w:val="center"/>
          </w:tcPr>
          <w:p>
            <w:pPr>
              <w:pStyle w:val="2"/>
              <w:adjustRightInd w:val="0"/>
              <w:snapToGrid w:val="0"/>
              <w:spacing w:after="0"/>
              <w:jc w:val="center"/>
              <w:rPr>
                <w:rFonts w:hint="eastAsia" w:ascii="仿宋" w:hAnsi="仿宋" w:eastAsia="仿宋" w:cs="仿宋"/>
                <w:sz w:val="18"/>
                <w:szCs w:val="18"/>
              </w:rPr>
            </w:pPr>
          </w:p>
        </w:tc>
        <w:tc>
          <w:tcPr>
            <w:tcW w:w="814"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after="0"/>
              <w:jc w:val="center"/>
              <w:rPr>
                <w:rFonts w:hint="eastAsia" w:ascii="仿宋" w:hAnsi="仿宋" w:eastAsia="仿宋" w:cs="仿宋"/>
                <w:sz w:val="18"/>
                <w:szCs w:val="18"/>
              </w:rPr>
            </w:pPr>
            <w:r>
              <w:rPr>
                <w:rFonts w:hint="eastAsia" w:ascii="仿宋" w:hAnsi="仿宋" w:eastAsia="仿宋" w:cs="仿宋"/>
                <w:sz w:val="18"/>
                <w:szCs w:val="18"/>
              </w:rPr>
              <w:t>3</w:t>
            </w:r>
          </w:p>
        </w:tc>
        <w:tc>
          <w:tcPr>
            <w:tcW w:w="2901"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after="0"/>
              <w:jc w:val="center"/>
              <w:rPr>
                <w:rFonts w:hint="eastAsia" w:ascii="仿宋" w:hAnsi="仿宋" w:eastAsia="仿宋" w:cs="仿宋"/>
                <w:sz w:val="18"/>
                <w:szCs w:val="18"/>
              </w:rPr>
            </w:pPr>
            <w:r>
              <w:rPr>
                <w:rFonts w:hint="eastAsia" w:ascii="仿宋" w:hAnsi="仿宋" w:eastAsia="仿宋" w:cs="仿宋"/>
                <w:sz w:val="18"/>
                <w:szCs w:val="18"/>
              </w:rPr>
              <w:t>服务方案</w:t>
            </w:r>
            <w:r>
              <w:rPr>
                <w:rFonts w:hint="eastAsia" w:ascii="仿宋" w:hAnsi="仿宋" w:eastAsia="仿宋" w:cs="仿宋"/>
                <w:sz w:val="18"/>
                <w:szCs w:val="18"/>
                <w:lang w:val="en-US" w:eastAsia="zh-CN"/>
              </w:rPr>
              <w:t>10</w:t>
            </w:r>
            <w:r>
              <w:rPr>
                <w:rFonts w:hint="eastAsia" w:ascii="仿宋" w:hAnsi="仿宋" w:eastAsia="仿宋" w:cs="仿宋"/>
                <w:sz w:val="18"/>
                <w:szCs w:val="18"/>
              </w:rPr>
              <w:t>%</w:t>
            </w:r>
          </w:p>
        </w:tc>
        <w:tc>
          <w:tcPr>
            <w:tcW w:w="1470"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after="0"/>
              <w:jc w:val="center"/>
              <w:rPr>
                <w:rFonts w:hint="eastAsia" w:ascii="仿宋" w:hAnsi="仿宋" w:eastAsia="仿宋" w:cs="仿宋"/>
                <w:sz w:val="18"/>
                <w:szCs w:val="18"/>
              </w:rPr>
            </w:pPr>
            <w:r>
              <w:rPr>
                <w:rFonts w:hint="eastAsia" w:ascii="仿宋" w:hAnsi="仿宋" w:eastAsia="仿宋" w:cs="仿宋"/>
                <w:sz w:val="18"/>
                <w:szCs w:val="18"/>
                <w:lang w:val="en-US" w:eastAsia="zh-CN"/>
              </w:rPr>
              <w:t>10</w:t>
            </w:r>
            <w:r>
              <w:rPr>
                <w:rFonts w:hint="eastAsia" w:ascii="仿宋" w:hAnsi="仿宋" w:eastAsia="仿宋" w:cs="仿宋"/>
                <w:sz w:val="18"/>
                <w:szCs w:val="18"/>
              </w:rPr>
              <w:t>分</w:t>
            </w:r>
          </w:p>
        </w:tc>
        <w:tc>
          <w:tcPr>
            <w:tcW w:w="129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仿宋" w:hAnsi="仿宋" w:eastAsia="仿宋" w:cs="仿宋"/>
                <w:sz w:val="18"/>
                <w:szCs w:val="18"/>
              </w:rPr>
            </w:pPr>
            <w:r>
              <w:rPr>
                <w:rFonts w:hint="eastAsia" w:ascii="仿宋" w:hAnsi="仿宋" w:eastAsia="仿宋" w:cs="仿宋"/>
                <w:sz w:val="18"/>
                <w:szCs w:val="18"/>
              </w:rPr>
              <w:t>技术评分因素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4" w:type="dxa"/>
            <w:vMerge w:val="continue"/>
            <w:tcBorders>
              <w:left w:val="single" w:color="auto" w:sz="4" w:space="0"/>
              <w:right w:val="single" w:color="auto" w:sz="4" w:space="0"/>
            </w:tcBorders>
            <w:vAlign w:val="center"/>
          </w:tcPr>
          <w:p>
            <w:pPr>
              <w:pStyle w:val="2"/>
              <w:adjustRightInd w:val="0"/>
              <w:snapToGrid w:val="0"/>
              <w:spacing w:after="0"/>
              <w:jc w:val="center"/>
              <w:rPr>
                <w:rFonts w:hint="eastAsia" w:ascii="仿宋" w:hAnsi="仿宋" w:eastAsia="仿宋" w:cs="仿宋"/>
                <w:sz w:val="18"/>
                <w:szCs w:val="18"/>
              </w:rPr>
            </w:pPr>
          </w:p>
        </w:tc>
        <w:tc>
          <w:tcPr>
            <w:tcW w:w="814"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after="0"/>
              <w:jc w:val="center"/>
              <w:rPr>
                <w:rFonts w:hint="eastAsia" w:ascii="仿宋" w:hAnsi="仿宋" w:eastAsia="仿宋" w:cs="仿宋"/>
                <w:sz w:val="18"/>
                <w:szCs w:val="18"/>
              </w:rPr>
            </w:pPr>
            <w:r>
              <w:rPr>
                <w:rFonts w:hint="eastAsia" w:ascii="仿宋" w:hAnsi="仿宋" w:eastAsia="仿宋" w:cs="仿宋"/>
                <w:sz w:val="18"/>
                <w:szCs w:val="18"/>
              </w:rPr>
              <w:t>4</w:t>
            </w:r>
          </w:p>
        </w:tc>
        <w:tc>
          <w:tcPr>
            <w:tcW w:w="2901"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after="0"/>
              <w:jc w:val="center"/>
              <w:rPr>
                <w:rFonts w:hint="eastAsia" w:ascii="仿宋" w:hAnsi="仿宋" w:eastAsia="仿宋" w:cs="仿宋"/>
                <w:sz w:val="18"/>
                <w:szCs w:val="18"/>
              </w:rPr>
            </w:pPr>
            <w:r>
              <w:rPr>
                <w:rFonts w:hint="eastAsia" w:ascii="仿宋" w:hAnsi="仿宋" w:eastAsia="仿宋" w:cs="仿宋"/>
                <w:sz w:val="18"/>
                <w:szCs w:val="18"/>
                <w:lang w:val="en-US" w:eastAsia="zh-CN"/>
              </w:rPr>
              <w:t>售后</w:t>
            </w:r>
            <w:r>
              <w:rPr>
                <w:rFonts w:hint="eastAsia" w:ascii="仿宋" w:hAnsi="仿宋" w:eastAsia="仿宋" w:cs="仿宋"/>
                <w:sz w:val="18"/>
                <w:szCs w:val="18"/>
              </w:rPr>
              <w:t>服务保障</w:t>
            </w:r>
            <w:r>
              <w:rPr>
                <w:rFonts w:hint="eastAsia" w:ascii="仿宋" w:hAnsi="仿宋" w:eastAsia="仿宋" w:cs="仿宋"/>
                <w:sz w:val="18"/>
                <w:szCs w:val="18"/>
                <w:lang w:val="en-US" w:eastAsia="zh-CN"/>
              </w:rPr>
              <w:t>5</w:t>
            </w:r>
            <w:r>
              <w:rPr>
                <w:rFonts w:hint="eastAsia" w:ascii="仿宋" w:hAnsi="仿宋" w:eastAsia="仿宋" w:cs="仿宋"/>
                <w:sz w:val="18"/>
                <w:szCs w:val="18"/>
              </w:rPr>
              <w:t>%</w:t>
            </w:r>
          </w:p>
        </w:tc>
        <w:tc>
          <w:tcPr>
            <w:tcW w:w="1470"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after="0"/>
              <w:jc w:val="center"/>
              <w:rPr>
                <w:rFonts w:hint="eastAsia" w:ascii="仿宋" w:hAnsi="仿宋" w:eastAsia="仿宋" w:cs="仿宋"/>
                <w:sz w:val="18"/>
                <w:szCs w:val="18"/>
              </w:rPr>
            </w:pPr>
            <w:r>
              <w:rPr>
                <w:rFonts w:hint="eastAsia" w:ascii="仿宋" w:hAnsi="仿宋" w:eastAsia="仿宋" w:cs="仿宋"/>
                <w:sz w:val="18"/>
                <w:szCs w:val="18"/>
                <w:lang w:val="en-US" w:eastAsia="zh-CN"/>
              </w:rPr>
              <w:t>5</w:t>
            </w:r>
            <w:r>
              <w:rPr>
                <w:rFonts w:hint="eastAsia" w:ascii="仿宋" w:hAnsi="仿宋" w:eastAsia="仿宋" w:cs="仿宋"/>
                <w:sz w:val="18"/>
                <w:szCs w:val="18"/>
              </w:rPr>
              <w:t>分</w:t>
            </w:r>
          </w:p>
        </w:tc>
        <w:tc>
          <w:tcPr>
            <w:tcW w:w="129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仿宋" w:hAnsi="仿宋" w:eastAsia="仿宋" w:cs="仿宋"/>
                <w:sz w:val="18"/>
                <w:szCs w:val="18"/>
              </w:rPr>
            </w:pPr>
            <w:r>
              <w:rPr>
                <w:rFonts w:hint="eastAsia" w:ascii="仿宋" w:hAnsi="仿宋" w:eastAsia="仿宋" w:cs="仿宋"/>
                <w:sz w:val="18"/>
                <w:szCs w:val="18"/>
              </w:rPr>
              <w:t>技术评分因素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4" w:type="dxa"/>
            <w:vMerge w:val="continue"/>
            <w:tcBorders>
              <w:left w:val="single" w:color="auto" w:sz="4" w:space="0"/>
              <w:right w:val="single" w:color="auto" w:sz="4" w:space="0"/>
            </w:tcBorders>
            <w:vAlign w:val="center"/>
          </w:tcPr>
          <w:p>
            <w:pPr>
              <w:pStyle w:val="2"/>
              <w:adjustRightInd w:val="0"/>
              <w:snapToGrid w:val="0"/>
              <w:spacing w:after="0"/>
              <w:jc w:val="center"/>
              <w:rPr>
                <w:rFonts w:hint="eastAsia" w:ascii="仿宋" w:hAnsi="仿宋" w:eastAsia="仿宋" w:cs="仿宋"/>
                <w:sz w:val="18"/>
                <w:szCs w:val="18"/>
              </w:rPr>
            </w:pPr>
          </w:p>
        </w:tc>
        <w:tc>
          <w:tcPr>
            <w:tcW w:w="814"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after="0"/>
              <w:jc w:val="center"/>
              <w:rPr>
                <w:rFonts w:hint="eastAsia" w:ascii="仿宋" w:hAnsi="仿宋" w:eastAsia="仿宋" w:cs="仿宋"/>
                <w:sz w:val="18"/>
                <w:szCs w:val="18"/>
              </w:rPr>
            </w:pPr>
            <w:r>
              <w:rPr>
                <w:rFonts w:hint="eastAsia" w:ascii="仿宋" w:hAnsi="仿宋" w:eastAsia="仿宋" w:cs="仿宋"/>
                <w:sz w:val="18"/>
                <w:szCs w:val="18"/>
              </w:rPr>
              <w:t>5</w:t>
            </w:r>
          </w:p>
        </w:tc>
        <w:tc>
          <w:tcPr>
            <w:tcW w:w="2901"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after="0"/>
              <w:jc w:val="center"/>
              <w:rPr>
                <w:rFonts w:hint="eastAsia" w:ascii="仿宋" w:hAnsi="仿宋" w:eastAsia="仿宋" w:cs="仿宋"/>
                <w:sz w:val="18"/>
                <w:szCs w:val="18"/>
              </w:rPr>
            </w:pPr>
            <w:r>
              <w:rPr>
                <w:rFonts w:hint="eastAsia" w:ascii="仿宋" w:hAnsi="仿宋" w:eastAsia="仿宋" w:cs="仿宋"/>
                <w:sz w:val="18"/>
                <w:szCs w:val="18"/>
              </w:rPr>
              <w:t>履约能力</w:t>
            </w:r>
            <w:r>
              <w:rPr>
                <w:rFonts w:hint="eastAsia" w:ascii="仿宋" w:hAnsi="仿宋" w:eastAsia="仿宋" w:cs="仿宋"/>
                <w:sz w:val="18"/>
                <w:szCs w:val="18"/>
                <w:lang w:val="en-US" w:eastAsia="zh-CN"/>
              </w:rPr>
              <w:t>5</w:t>
            </w:r>
            <w:r>
              <w:rPr>
                <w:rFonts w:hint="eastAsia" w:ascii="仿宋" w:hAnsi="仿宋" w:eastAsia="仿宋" w:cs="仿宋"/>
                <w:sz w:val="18"/>
                <w:szCs w:val="18"/>
              </w:rPr>
              <w:t>%</w:t>
            </w:r>
          </w:p>
        </w:tc>
        <w:tc>
          <w:tcPr>
            <w:tcW w:w="1470"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after="0"/>
              <w:jc w:val="center"/>
              <w:rPr>
                <w:rFonts w:hint="eastAsia" w:ascii="仿宋" w:hAnsi="仿宋" w:eastAsia="仿宋" w:cs="仿宋"/>
                <w:sz w:val="18"/>
                <w:szCs w:val="18"/>
              </w:rPr>
            </w:pPr>
            <w:r>
              <w:rPr>
                <w:rFonts w:hint="eastAsia" w:ascii="仿宋" w:hAnsi="仿宋" w:eastAsia="仿宋" w:cs="仿宋"/>
                <w:sz w:val="18"/>
                <w:szCs w:val="18"/>
                <w:lang w:val="en-US" w:eastAsia="zh-CN"/>
              </w:rPr>
              <w:t>5</w:t>
            </w:r>
            <w:r>
              <w:rPr>
                <w:rFonts w:hint="eastAsia" w:ascii="仿宋" w:hAnsi="仿宋" w:eastAsia="仿宋" w:cs="仿宋"/>
                <w:sz w:val="18"/>
                <w:szCs w:val="18"/>
              </w:rPr>
              <w:t>分</w:t>
            </w:r>
          </w:p>
        </w:tc>
        <w:tc>
          <w:tcPr>
            <w:tcW w:w="129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仿宋" w:hAnsi="仿宋" w:eastAsia="仿宋" w:cs="仿宋"/>
                <w:sz w:val="18"/>
                <w:szCs w:val="18"/>
              </w:rPr>
            </w:pPr>
            <w:r>
              <w:rPr>
                <w:rFonts w:hint="eastAsia" w:ascii="仿宋" w:hAnsi="仿宋" w:eastAsia="仿宋" w:cs="仿宋"/>
                <w:sz w:val="18"/>
                <w:szCs w:val="18"/>
              </w:rPr>
              <w:t>技术评分因素</w:t>
            </w:r>
          </w:p>
        </w:tc>
      </w:tr>
    </w:tbl>
    <w:p>
      <w:pPr>
        <w:spacing w:line="360" w:lineRule="auto"/>
        <w:ind w:firstLine="422" w:firstLineChars="200"/>
        <w:rPr>
          <w:rFonts w:hint="eastAsia" w:ascii="仿宋" w:hAnsi="仿宋" w:eastAsia="仿宋" w:cs="仿宋"/>
          <w:b/>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EA59F7"/>
    <w:multiLevelType w:val="singleLevel"/>
    <w:tmpl w:val="8CEA59F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mMGU0NmE5ODIyYTk4ZjgzZGM0Y2NlNjFmZGY5ZWEifQ=="/>
    <w:docVar w:name="KSO_WPS_MARK_KEY" w:val="bb25c515-73d4-4925-a44d-b44e2a96dafb"/>
  </w:docVars>
  <w:rsids>
    <w:rsidRoot w:val="00895A15"/>
    <w:rsid w:val="00220833"/>
    <w:rsid w:val="003E4A0C"/>
    <w:rsid w:val="00447D67"/>
    <w:rsid w:val="004C3BCB"/>
    <w:rsid w:val="004E00CB"/>
    <w:rsid w:val="004E65CD"/>
    <w:rsid w:val="00555235"/>
    <w:rsid w:val="006E62A9"/>
    <w:rsid w:val="007778CB"/>
    <w:rsid w:val="00895A15"/>
    <w:rsid w:val="0096136F"/>
    <w:rsid w:val="00A452BD"/>
    <w:rsid w:val="00E450DB"/>
    <w:rsid w:val="00FB4AF0"/>
    <w:rsid w:val="00FC3B8B"/>
    <w:rsid w:val="00FF5838"/>
    <w:rsid w:val="00FF594A"/>
    <w:rsid w:val="019127B6"/>
    <w:rsid w:val="03722B8F"/>
    <w:rsid w:val="03BC0D3F"/>
    <w:rsid w:val="09D6775D"/>
    <w:rsid w:val="0D010895"/>
    <w:rsid w:val="13E1587A"/>
    <w:rsid w:val="18A4221F"/>
    <w:rsid w:val="18AA3680"/>
    <w:rsid w:val="1A8B7005"/>
    <w:rsid w:val="1E9F6C6F"/>
    <w:rsid w:val="2424020B"/>
    <w:rsid w:val="289777EE"/>
    <w:rsid w:val="2CF03F85"/>
    <w:rsid w:val="2D2C42AF"/>
    <w:rsid w:val="2E3F5A2D"/>
    <w:rsid w:val="2E47255A"/>
    <w:rsid w:val="30496C99"/>
    <w:rsid w:val="31030DBF"/>
    <w:rsid w:val="316802C2"/>
    <w:rsid w:val="386E1A9D"/>
    <w:rsid w:val="3B0B6BDE"/>
    <w:rsid w:val="410E782D"/>
    <w:rsid w:val="44FA6A22"/>
    <w:rsid w:val="453641BF"/>
    <w:rsid w:val="48324EAB"/>
    <w:rsid w:val="48C57A10"/>
    <w:rsid w:val="49892535"/>
    <w:rsid w:val="4C056A16"/>
    <w:rsid w:val="4C936320"/>
    <w:rsid w:val="506D346E"/>
    <w:rsid w:val="51391BC6"/>
    <w:rsid w:val="54F10069"/>
    <w:rsid w:val="55FC2F9A"/>
    <w:rsid w:val="56C53E05"/>
    <w:rsid w:val="5A7140A7"/>
    <w:rsid w:val="5D641F1C"/>
    <w:rsid w:val="5F586E3A"/>
    <w:rsid w:val="64E45081"/>
    <w:rsid w:val="651838A9"/>
    <w:rsid w:val="67DE35FD"/>
    <w:rsid w:val="67FA1673"/>
    <w:rsid w:val="6B9240B0"/>
    <w:rsid w:val="6C864365"/>
    <w:rsid w:val="6CD966B8"/>
    <w:rsid w:val="6DF03896"/>
    <w:rsid w:val="6F02289B"/>
    <w:rsid w:val="70DE5573"/>
    <w:rsid w:val="71135756"/>
    <w:rsid w:val="73660227"/>
    <w:rsid w:val="759D2386"/>
    <w:rsid w:val="77C863C8"/>
    <w:rsid w:val="7DA6649A"/>
    <w:rsid w:val="7EAA22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4"/>
    <w:qFormat/>
    <w:uiPriority w:val="0"/>
    <w:pPr>
      <w:spacing w:after="120"/>
    </w:pPr>
  </w:style>
  <w:style w:type="paragraph" w:styleId="3">
    <w:name w:val="Plain Text"/>
    <w:basedOn w:val="1"/>
    <w:next w:val="4"/>
    <w:link w:val="15"/>
    <w:qFormat/>
    <w:uiPriority w:val="0"/>
    <w:rPr>
      <w:rFonts w:ascii="宋体" w:hAnsi="Courier New"/>
      <w:kern w:val="0"/>
      <w:sz w:val="20"/>
      <w:szCs w:val="21"/>
    </w:rPr>
  </w:style>
  <w:style w:type="paragraph" w:styleId="4">
    <w:name w:val="Normal Indent"/>
    <w:basedOn w:val="1"/>
    <w:unhideWhenUsed/>
    <w:qFormat/>
    <w:uiPriority w:val="99"/>
    <w:pPr>
      <w:ind w:firstLine="420" w:firstLineChars="200"/>
      <w:jc w:val="left"/>
    </w:pPr>
  </w:style>
  <w:style w:type="paragraph" w:styleId="5">
    <w:name w:val="Body Text Indent"/>
    <w:basedOn w:val="1"/>
    <w:qFormat/>
    <w:uiPriority w:val="0"/>
    <w:pPr>
      <w:ind w:firstLine="795"/>
    </w:pPr>
    <w:rPr>
      <w:rFonts w:ascii="Times New Roman"/>
      <w:kern w:val="2"/>
      <w:sz w:val="32"/>
    </w:rPr>
  </w:style>
  <w:style w:type="paragraph" w:styleId="6">
    <w:name w:val="Balloon Text"/>
    <w:basedOn w:val="1"/>
    <w:link w:val="20"/>
    <w:semiHidden/>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character" w:customStyle="1" w:styleId="13">
    <w:name w:val="font11"/>
    <w:basedOn w:val="11"/>
    <w:qFormat/>
    <w:uiPriority w:val="0"/>
    <w:rPr>
      <w:rFonts w:hint="eastAsia" w:ascii="宋体" w:hAnsi="宋体" w:eastAsia="宋体" w:cs="宋体"/>
      <w:b/>
      <w:bCs/>
      <w:color w:val="000000"/>
      <w:sz w:val="20"/>
      <w:szCs w:val="20"/>
      <w:u w:val="none"/>
    </w:rPr>
  </w:style>
  <w:style w:type="character" w:customStyle="1" w:styleId="14">
    <w:name w:val="正文文本 Char"/>
    <w:basedOn w:val="11"/>
    <w:link w:val="2"/>
    <w:qFormat/>
    <w:uiPriority w:val="0"/>
  </w:style>
  <w:style w:type="character" w:customStyle="1" w:styleId="15">
    <w:name w:val="纯文本 Char"/>
    <w:basedOn w:val="11"/>
    <w:link w:val="3"/>
    <w:qFormat/>
    <w:uiPriority w:val="0"/>
    <w:rPr>
      <w:rFonts w:ascii="宋体" w:hAnsi="Courier New"/>
      <w:kern w:val="0"/>
      <w:sz w:val="20"/>
      <w:szCs w:val="21"/>
    </w:rPr>
  </w:style>
  <w:style w:type="paragraph" w:customStyle="1" w:styleId="16">
    <w:name w:val="Default"/>
    <w:unhideWhenUsed/>
    <w:qFormat/>
    <w:uiPriority w:val="99"/>
    <w:pPr>
      <w:widowControl w:val="0"/>
      <w:autoSpaceDE w:val="0"/>
      <w:autoSpaceDN w:val="0"/>
      <w:adjustRightInd w:val="0"/>
    </w:pPr>
    <w:rPr>
      <w:rFonts w:hint="eastAsia" w:ascii="宋体" w:hAnsi="宋体" w:eastAsia="宋体" w:cs="Times New Roman"/>
      <w:color w:val="000000"/>
      <w:kern w:val="0"/>
      <w:sz w:val="24"/>
      <w:szCs w:val="22"/>
      <w:lang w:val="en-US" w:eastAsia="zh-CN" w:bidi="ar-SA"/>
    </w:rPr>
  </w:style>
  <w:style w:type="character" w:customStyle="1" w:styleId="17">
    <w:name w:val="font31"/>
    <w:basedOn w:val="11"/>
    <w:qFormat/>
    <w:uiPriority w:val="0"/>
    <w:rPr>
      <w:rFonts w:hint="eastAsia" w:ascii="宋体" w:hAnsi="宋体" w:eastAsia="宋体" w:cs="宋体"/>
      <w:b/>
      <w:bCs/>
      <w:color w:val="000000"/>
      <w:sz w:val="20"/>
      <w:szCs w:val="20"/>
      <w:u w:val="none"/>
    </w:rPr>
  </w:style>
  <w:style w:type="character" w:customStyle="1" w:styleId="18">
    <w:name w:val="页眉 Char"/>
    <w:basedOn w:val="11"/>
    <w:link w:val="8"/>
    <w:qFormat/>
    <w:uiPriority w:val="99"/>
    <w:rPr>
      <w:sz w:val="18"/>
      <w:szCs w:val="18"/>
    </w:rPr>
  </w:style>
  <w:style w:type="character" w:customStyle="1" w:styleId="19">
    <w:name w:val="页脚 Char"/>
    <w:basedOn w:val="11"/>
    <w:link w:val="7"/>
    <w:qFormat/>
    <w:uiPriority w:val="99"/>
    <w:rPr>
      <w:sz w:val="18"/>
      <w:szCs w:val="18"/>
    </w:rPr>
  </w:style>
  <w:style w:type="character" w:customStyle="1" w:styleId="20">
    <w:name w:val="批注框文本 Char"/>
    <w:basedOn w:val="11"/>
    <w:link w:val="6"/>
    <w:semiHidden/>
    <w:qFormat/>
    <w:uiPriority w:val="99"/>
    <w:rPr>
      <w:sz w:val="18"/>
      <w:szCs w:val="18"/>
    </w:rPr>
  </w:style>
  <w:style w:type="character" w:customStyle="1" w:styleId="21">
    <w:name w:val="font21"/>
    <w:basedOn w:val="1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9</Pages>
  <Words>6809</Words>
  <Characters>8072</Characters>
  <Lines>139</Lines>
  <Paragraphs>39</Paragraphs>
  <TotalTime>1</TotalTime>
  <ScaleCrop>false</ScaleCrop>
  <LinksUpToDate>false</LinksUpToDate>
  <CharactersWithSpaces>8206</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2024-03-15T03:08:00Z</dcterms:created>
  <dc:creator>刘雪梅</dc:creator>
  <cp:lastModifiedBy>HP</cp:lastModifiedBy>
  <dcterms:modified xsi:type="dcterms:W3CDTF">2024-05-31T03:43:57Z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42DC672BA65F448EA093ECC6D07868DB_13</vt:lpwstr>
  </property>
</Properties>
</file>